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51" w:rsidRPr="00BE7542" w:rsidRDefault="00026451" w:rsidP="00BE7542">
      <w:pPr>
        <w:rPr>
          <w:rFonts w:ascii="Times New Roman" w:hAnsi="Times New Roman" w:cs="Times New Roman"/>
          <w:b/>
          <w:sz w:val="24"/>
          <w:szCs w:val="24"/>
        </w:rPr>
      </w:pPr>
      <w:r w:rsidRPr="00BE7542">
        <w:rPr>
          <w:rFonts w:ascii="Times New Roman" w:hAnsi="Times New Roman" w:cs="Times New Roman"/>
          <w:b/>
          <w:sz w:val="24"/>
          <w:szCs w:val="24"/>
        </w:rPr>
        <w:t>Statewide Water Planning: The Georgia Experience</w:t>
      </w:r>
    </w:p>
    <w:p w:rsidR="00026451" w:rsidRDefault="00026451" w:rsidP="00BE7542">
      <w:pPr>
        <w:rPr>
          <w:rFonts w:ascii="Times New Roman" w:hAnsi="Times New Roman" w:cs="Times New Roman"/>
          <w:b/>
          <w:sz w:val="24"/>
          <w:szCs w:val="24"/>
        </w:rPr>
      </w:pPr>
      <w:r w:rsidRPr="00BE7542">
        <w:rPr>
          <w:rFonts w:ascii="Times New Roman" w:hAnsi="Times New Roman" w:cs="Times New Roman"/>
          <w:b/>
          <w:sz w:val="24"/>
          <w:szCs w:val="24"/>
        </w:rPr>
        <w:t>Jeffrey D. Mullen</w:t>
      </w:r>
    </w:p>
    <w:p w:rsidR="00BE7542" w:rsidRDefault="00BE7542" w:rsidP="00BE7542">
      <w:pPr>
        <w:rPr>
          <w:rFonts w:ascii="Times New Roman" w:hAnsi="Times New Roman" w:cs="Times New Roman"/>
          <w:sz w:val="24"/>
          <w:szCs w:val="24"/>
        </w:rPr>
      </w:pPr>
      <w:r>
        <w:rPr>
          <w:rFonts w:ascii="Times New Roman" w:hAnsi="Times New Roman" w:cs="Times New Roman"/>
          <w:b/>
          <w:sz w:val="24"/>
          <w:szCs w:val="24"/>
        </w:rPr>
        <w:t>Footnote:</w:t>
      </w:r>
      <w:r>
        <w:rPr>
          <w:rFonts w:ascii="Times New Roman" w:hAnsi="Times New Roman" w:cs="Times New Roman"/>
          <w:sz w:val="24"/>
          <w:szCs w:val="24"/>
        </w:rPr>
        <w:t xml:space="preserve"> Jeffrey D. Mullen is an associate professor, Department of Agricultural and Applied Economics, University of Georgia, Athens, Georgia.</w:t>
      </w:r>
    </w:p>
    <w:p w:rsidR="00BE7542" w:rsidRPr="00BE7542" w:rsidRDefault="00BE7542" w:rsidP="00BE7542">
      <w:pPr>
        <w:rPr>
          <w:rFonts w:ascii="Times New Roman" w:hAnsi="Times New Roman" w:cs="Times New Roman"/>
          <w:sz w:val="24"/>
          <w:szCs w:val="24"/>
        </w:rPr>
      </w:pPr>
      <w:r>
        <w:rPr>
          <w:rFonts w:ascii="Times New Roman" w:hAnsi="Times New Roman" w:cs="Times New Roman"/>
          <w:b/>
          <w:sz w:val="24"/>
          <w:szCs w:val="24"/>
        </w:rPr>
        <w:t xml:space="preserve">Running Head: </w:t>
      </w:r>
      <w:r>
        <w:rPr>
          <w:rFonts w:ascii="Times New Roman" w:hAnsi="Times New Roman" w:cs="Times New Roman"/>
          <w:sz w:val="24"/>
          <w:szCs w:val="24"/>
        </w:rPr>
        <w:t xml:space="preserve">Statewide Water Planning </w:t>
      </w:r>
    </w:p>
    <w:p w:rsidR="003725A9" w:rsidRDefault="003725A9" w:rsidP="00026451">
      <w:pPr>
        <w:rPr>
          <w:rFonts w:ascii="Times New Roman" w:hAnsi="Times New Roman" w:cs="Times New Roman"/>
          <w:sz w:val="24"/>
          <w:szCs w:val="24"/>
        </w:rPr>
      </w:pPr>
      <w:r>
        <w:rPr>
          <w:rFonts w:ascii="Times New Roman" w:hAnsi="Times New Roman" w:cs="Times New Roman"/>
          <w:sz w:val="24"/>
          <w:szCs w:val="24"/>
        </w:rPr>
        <w:t>Several states in the southeast have acknowledged the need for statewide water planning but have yet to act.  In contrast, Georgia is on the cusp of completing t</w:t>
      </w:r>
      <w:r>
        <w:rPr>
          <w:rFonts w:ascii="Times New Roman" w:hAnsi="Times New Roman" w:cs="Times New Roman"/>
          <w:color w:val="333333"/>
          <w:sz w:val="24"/>
          <w:szCs w:val="24"/>
        </w:rPr>
        <w:t>he Georgia Comprehensive State</w:t>
      </w:r>
      <w:r w:rsidR="00026451" w:rsidRPr="00026451">
        <w:rPr>
          <w:rFonts w:ascii="Times New Roman" w:hAnsi="Times New Roman" w:cs="Times New Roman"/>
          <w:color w:val="333333"/>
          <w:sz w:val="24"/>
          <w:szCs w:val="24"/>
        </w:rPr>
        <w:t xml:space="preserve">wide Water Management Plan (SWMP). The </w:t>
      </w:r>
      <w:r>
        <w:rPr>
          <w:rFonts w:ascii="Times New Roman" w:hAnsi="Times New Roman" w:cs="Times New Roman"/>
          <w:color w:val="333333"/>
          <w:sz w:val="24"/>
          <w:szCs w:val="24"/>
        </w:rPr>
        <w:t xml:space="preserve">SWMP </w:t>
      </w:r>
      <w:r w:rsidR="00026451" w:rsidRPr="00026451">
        <w:rPr>
          <w:rFonts w:ascii="Times New Roman" w:hAnsi="Times New Roman" w:cs="Times New Roman"/>
          <w:color w:val="333333"/>
          <w:sz w:val="24"/>
          <w:szCs w:val="24"/>
        </w:rPr>
        <w:t xml:space="preserve">provides </w:t>
      </w:r>
      <w:r w:rsidR="00026451" w:rsidRPr="00026451">
        <w:rPr>
          <w:rFonts w:ascii="Times New Roman" w:hAnsi="Times New Roman" w:cs="Times New Roman"/>
          <w:sz w:val="24"/>
          <w:szCs w:val="24"/>
        </w:rPr>
        <w:t xml:space="preserve">for resource assessments, forecasts, and regional water planning.  Over the past </w:t>
      </w:r>
      <w:r w:rsidR="00026451">
        <w:rPr>
          <w:rFonts w:ascii="Times New Roman" w:hAnsi="Times New Roman" w:cs="Times New Roman"/>
          <w:sz w:val="24"/>
          <w:szCs w:val="24"/>
        </w:rPr>
        <w:t xml:space="preserve">three </w:t>
      </w:r>
      <w:r w:rsidR="00026451" w:rsidRPr="00026451">
        <w:rPr>
          <w:rFonts w:ascii="Times New Roman" w:hAnsi="Times New Roman" w:cs="Times New Roman"/>
          <w:sz w:val="24"/>
          <w:szCs w:val="24"/>
        </w:rPr>
        <w:t xml:space="preserve">years, an extensive effort has been made to implement the SWMP.  </w:t>
      </w:r>
      <w:r>
        <w:rPr>
          <w:rFonts w:ascii="Times New Roman" w:hAnsi="Times New Roman" w:cs="Times New Roman"/>
          <w:sz w:val="24"/>
          <w:szCs w:val="24"/>
        </w:rPr>
        <w:t xml:space="preserve">This paper describes the planning process undertaken in Georgia.  Several of the recommended practices are also highlighted and critiqued with respect to their potential to affect aggregate water use in the state.  </w:t>
      </w:r>
    </w:p>
    <w:p w:rsidR="003725A9" w:rsidRDefault="003725A9" w:rsidP="00026451">
      <w:pPr>
        <w:rPr>
          <w:rFonts w:ascii="Times New Roman" w:hAnsi="Times New Roman" w:cs="Times New Roman"/>
          <w:sz w:val="24"/>
          <w:szCs w:val="24"/>
        </w:rPr>
      </w:pPr>
      <w:r w:rsidRPr="00513C23">
        <w:rPr>
          <w:rFonts w:ascii="Times New Roman" w:hAnsi="Times New Roman" w:cs="Times New Roman"/>
          <w:i/>
          <w:sz w:val="24"/>
          <w:szCs w:val="24"/>
        </w:rPr>
        <w:t>Keywords</w:t>
      </w:r>
      <w:r>
        <w:rPr>
          <w:rFonts w:ascii="Times New Roman" w:hAnsi="Times New Roman" w:cs="Times New Roman"/>
          <w:sz w:val="24"/>
          <w:szCs w:val="24"/>
        </w:rPr>
        <w:t xml:space="preserve">: </w:t>
      </w:r>
      <w:r w:rsidR="00BE7542">
        <w:rPr>
          <w:rFonts w:ascii="Times New Roman" w:hAnsi="Times New Roman" w:cs="Times New Roman"/>
          <w:sz w:val="24"/>
          <w:szCs w:val="24"/>
        </w:rPr>
        <w:t>r</w:t>
      </w:r>
      <w:r>
        <w:rPr>
          <w:rFonts w:ascii="Times New Roman" w:hAnsi="Times New Roman" w:cs="Times New Roman"/>
          <w:sz w:val="24"/>
          <w:szCs w:val="24"/>
        </w:rPr>
        <w:t xml:space="preserve">esidential </w:t>
      </w:r>
      <w:r w:rsidR="00BE7542">
        <w:rPr>
          <w:rFonts w:ascii="Times New Roman" w:hAnsi="Times New Roman" w:cs="Times New Roman"/>
          <w:sz w:val="24"/>
          <w:szCs w:val="24"/>
        </w:rPr>
        <w:t>w</w:t>
      </w:r>
      <w:r>
        <w:rPr>
          <w:rFonts w:ascii="Times New Roman" w:hAnsi="Times New Roman" w:cs="Times New Roman"/>
          <w:sz w:val="24"/>
          <w:szCs w:val="24"/>
        </w:rPr>
        <w:t xml:space="preserve">ater </w:t>
      </w:r>
      <w:r w:rsidR="00BE7542">
        <w:rPr>
          <w:rFonts w:ascii="Times New Roman" w:hAnsi="Times New Roman" w:cs="Times New Roman"/>
          <w:sz w:val="24"/>
          <w:szCs w:val="24"/>
        </w:rPr>
        <w:t>u</w:t>
      </w:r>
      <w:r>
        <w:rPr>
          <w:rFonts w:ascii="Times New Roman" w:hAnsi="Times New Roman" w:cs="Times New Roman"/>
          <w:sz w:val="24"/>
          <w:szCs w:val="24"/>
        </w:rPr>
        <w:t xml:space="preserve">se, </w:t>
      </w:r>
      <w:r w:rsidR="00BE7542">
        <w:rPr>
          <w:rFonts w:ascii="Times New Roman" w:hAnsi="Times New Roman" w:cs="Times New Roman"/>
          <w:sz w:val="24"/>
          <w:szCs w:val="24"/>
        </w:rPr>
        <w:t>w</w:t>
      </w:r>
      <w:r>
        <w:rPr>
          <w:rFonts w:ascii="Times New Roman" w:hAnsi="Times New Roman" w:cs="Times New Roman"/>
          <w:sz w:val="24"/>
          <w:szCs w:val="24"/>
        </w:rPr>
        <w:t xml:space="preserve">ater </w:t>
      </w:r>
      <w:r w:rsidR="00BE7542">
        <w:rPr>
          <w:rFonts w:ascii="Times New Roman" w:hAnsi="Times New Roman" w:cs="Times New Roman"/>
          <w:sz w:val="24"/>
          <w:szCs w:val="24"/>
        </w:rPr>
        <w:t>m</w:t>
      </w:r>
      <w:r>
        <w:rPr>
          <w:rFonts w:ascii="Times New Roman" w:hAnsi="Times New Roman" w:cs="Times New Roman"/>
          <w:sz w:val="24"/>
          <w:szCs w:val="24"/>
        </w:rPr>
        <w:t xml:space="preserve">anagement, </w:t>
      </w:r>
      <w:r w:rsidR="00BE7542">
        <w:rPr>
          <w:rFonts w:ascii="Times New Roman" w:hAnsi="Times New Roman" w:cs="Times New Roman"/>
          <w:sz w:val="24"/>
          <w:szCs w:val="24"/>
        </w:rPr>
        <w:t>w</w:t>
      </w:r>
      <w:r>
        <w:rPr>
          <w:rFonts w:ascii="Times New Roman" w:hAnsi="Times New Roman" w:cs="Times New Roman"/>
          <w:sz w:val="24"/>
          <w:szCs w:val="24"/>
        </w:rPr>
        <w:t xml:space="preserve">ater </w:t>
      </w:r>
      <w:r w:rsidR="00BE7542">
        <w:rPr>
          <w:rFonts w:ascii="Times New Roman" w:hAnsi="Times New Roman" w:cs="Times New Roman"/>
          <w:sz w:val="24"/>
          <w:szCs w:val="24"/>
        </w:rPr>
        <w:t>p</w:t>
      </w:r>
      <w:r>
        <w:rPr>
          <w:rFonts w:ascii="Times New Roman" w:hAnsi="Times New Roman" w:cs="Times New Roman"/>
          <w:sz w:val="24"/>
          <w:szCs w:val="24"/>
        </w:rPr>
        <w:t xml:space="preserve">lanning, </w:t>
      </w:r>
      <w:r w:rsidR="00BE7542">
        <w:rPr>
          <w:rFonts w:ascii="Times New Roman" w:hAnsi="Times New Roman" w:cs="Times New Roman"/>
          <w:sz w:val="24"/>
          <w:szCs w:val="24"/>
        </w:rPr>
        <w:t>i</w:t>
      </w:r>
      <w:r>
        <w:rPr>
          <w:rFonts w:ascii="Times New Roman" w:hAnsi="Times New Roman" w:cs="Times New Roman"/>
          <w:sz w:val="24"/>
          <w:szCs w:val="24"/>
        </w:rPr>
        <w:t>rrigation</w:t>
      </w:r>
    </w:p>
    <w:p w:rsidR="00517308" w:rsidRDefault="00517308" w:rsidP="00026451">
      <w:pPr>
        <w:rPr>
          <w:rFonts w:ascii="Times New Roman" w:hAnsi="Times New Roman" w:cs="Times New Roman"/>
          <w:sz w:val="24"/>
          <w:szCs w:val="24"/>
        </w:rPr>
      </w:pPr>
      <w:r w:rsidRPr="00BE7542">
        <w:rPr>
          <w:rFonts w:ascii="Times New Roman" w:hAnsi="Times New Roman" w:cs="Times New Roman"/>
          <w:b/>
          <w:sz w:val="24"/>
          <w:szCs w:val="24"/>
        </w:rPr>
        <w:t>JEL Classifications:</w:t>
      </w:r>
      <w:r w:rsidR="003213E4">
        <w:rPr>
          <w:rFonts w:ascii="Times New Roman" w:hAnsi="Times New Roman" w:cs="Times New Roman"/>
          <w:sz w:val="24"/>
          <w:szCs w:val="24"/>
        </w:rPr>
        <w:t xml:space="preserve"> Q25, Q28, R58</w:t>
      </w:r>
    </w:p>
    <w:p w:rsidR="001E5113" w:rsidRPr="00D072C0" w:rsidRDefault="005D420C" w:rsidP="00BE7542">
      <w:pPr>
        <w:rPr>
          <w:rFonts w:ascii="Times New Roman" w:hAnsi="Times New Roman" w:cs="Times New Roman"/>
          <w:sz w:val="24"/>
          <w:szCs w:val="24"/>
        </w:rPr>
      </w:pPr>
      <w:r w:rsidRPr="00D072C0">
        <w:rPr>
          <w:rFonts w:ascii="Times New Roman" w:hAnsi="Times New Roman" w:cs="Times New Roman"/>
          <w:sz w:val="24"/>
          <w:szCs w:val="24"/>
        </w:rPr>
        <w:t xml:space="preserve">A quick look at an annual precipitation map of the United States (see </w:t>
      </w:r>
      <w:r w:rsidR="00147568">
        <w:rPr>
          <w:rFonts w:ascii="Times New Roman" w:hAnsi="Times New Roman" w:cs="Times New Roman"/>
          <w:sz w:val="24"/>
          <w:szCs w:val="24"/>
        </w:rPr>
        <w:t>F</w:t>
      </w:r>
      <w:r w:rsidRPr="00D072C0">
        <w:rPr>
          <w:rFonts w:ascii="Times New Roman" w:hAnsi="Times New Roman" w:cs="Times New Roman"/>
          <w:sz w:val="24"/>
          <w:szCs w:val="24"/>
        </w:rPr>
        <w:t xml:space="preserve">igure 1) illustrates a clear </w:t>
      </w:r>
      <w:r w:rsidR="00147568">
        <w:rPr>
          <w:rFonts w:ascii="Times New Roman" w:hAnsi="Times New Roman" w:cs="Times New Roman"/>
          <w:sz w:val="24"/>
          <w:szCs w:val="24"/>
        </w:rPr>
        <w:t>e</w:t>
      </w:r>
      <w:r w:rsidRPr="00D072C0">
        <w:rPr>
          <w:rFonts w:ascii="Times New Roman" w:hAnsi="Times New Roman" w:cs="Times New Roman"/>
          <w:sz w:val="24"/>
          <w:szCs w:val="24"/>
        </w:rPr>
        <w:t>ast-</w:t>
      </w:r>
      <w:r w:rsidR="00147568">
        <w:rPr>
          <w:rFonts w:ascii="Times New Roman" w:hAnsi="Times New Roman" w:cs="Times New Roman"/>
          <w:sz w:val="24"/>
          <w:szCs w:val="24"/>
        </w:rPr>
        <w:t>w</w:t>
      </w:r>
      <w:r w:rsidRPr="00D072C0">
        <w:rPr>
          <w:rFonts w:ascii="Times New Roman" w:hAnsi="Times New Roman" w:cs="Times New Roman"/>
          <w:sz w:val="24"/>
          <w:szCs w:val="24"/>
        </w:rPr>
        <w:t xml:space="preserve">est dichotomy.  </w:t>
      </w:r>
      <w:r w:rsidR="002E100E" w:rsidRPr="00D072C0">
        <w:rPr>
          <w:rFonts w:ascii="Times New Roman" w:hAnsi="Times New Roman" w:cs="Times New Roman"/>
          <w:sz w:val="24"/>
          <w:szCs w:val="24"/>
        </w:rPr>
        <w:t>S</w:t>
      </w:r>
      <w:r w:rsidRPr="00D072C0">
        <w:rPr>
          <w:rFonts w:ascii="Times New Roman" w:hAnsi="Times New Roman" w:cs="Times New Roman"/>
          <w:sz w:val="24"/>
          <w:szCs w:val="24"/>
        </w:rPr>
        <w:t>tates</w:t>
      </w:r>
      <w:r w:rsidR="002E100E" w:rsidRPr="00D072C0">
        <w:rPr>
          <w:rFonts w:ascii="Times New Roman" w:hAnsi="Times New Roman" w:cs="Times New Roman"/>
          <w:sz w:val="24"/>
          <w:szCs w:val="24"/>
        </w:rPr>
        <w:t xml:space="preserve"> east of Oklahoma enjoy precipitation levels well above 30 inches per year, with a particularly wet pocket in the </w:t>
      </w:r>
      <w:r w:rsidR="00147568">
        <w:rPr>
          <w:rFonts w:ascii="Times New Roman" w:hAnsi="Times New Roman" w:cs="Times New Roman"/>
          <w:sz w:val="24"/>
          <w:szCs w:val="24"/>
        </w:rPr>
        <w:t>s</w:t>
      </w:r>
      <w:r w:rsidR="002E100E" w:rsidRPr="00D072C0">
        <w:rPr>
          <w:rFonts w:ascii="Times New Roman" w:hAnsi="Times New Roman" w:cs="Times New Roman"/>
          <w:sz w:val="24"/>
          <w:szCs w:val="24"/>
        </w:rPr>
        <w:t xml:space="preserve">outheast.  </w:t>
      </w:r>
      <w:r w:rsidR="008C1DC1" w:rsidRPr="00D072C0">
        <w:rPr>
          <w:rFonts w:ascii="Times New Roman" w:hAnsi="Times New Roman" w:cs="Times New Roman"/>
          <w:sz w:val="24"/>
          <w:szCs w:val="24"/>
        </w:rPr>
        <w:t>This</w:t>
      </w:r>
      <w:r w:rsidR="00731923" w:rsidRPr="00D072C0">
        <w:rPr>
          <w:rFonts w:ascii="Times New Roman" w:hAnsi="Times New Roman" w:cs="Times New Roman"/>
          <w:sz w:val="24"/>
          <w:szCs w:val="24"/>
        </w:rPr>
        <w:t xml:space="preserve"> spatial distribution of precipitation </w:t>
      </w:r>
      <w:r w:rsidR="008C1DC1" w:rsidRPr="00D072C0">
        <w:rPr>
          <w:rFonts w:ascii="Times New Roman" w:hAnsi="Times New Roman" w:cs="Times New Roman"/>
          <w:sz w:val="24"/>
          <w:szCs w:val="24"/>
        </w:rPr>
        <w:t xml:space="preserve">also </w:t>
      </w:r>
      <w:r w:rsidR="00A818AB" w:rsidRPr="00D072C0">
        <w:rPr>
          <w:rFonts w:ascii="Times New Roman" w:hAnsi="Times New Roman" w:cs="Times New Roman"/>
          <w:sz w:val="24"/>
          <w:szCs w:val="24"/>
        </w:rPr>
        <w:t xml:space="preserve">serves as </w:t>
      </w:r>
      <w:r w:rsidR="00731923" w:rsidRPr="00D072C0">
        <w:rPr>
          <w:rFonts w:ascii="Times New Roman" w:hAnsi="Times New Roman" w:cs="Times New Roman"/>
          <w:sz w:val="24"/>
          <w:szCs w:val="24"/>
        </w:rPr>
        <w:t>a reasonable guide to water rights regimes throughout the US</w:t>
      </w:r>
      <w:r w:rsidR="001E5113" w:rsidRPr="00D072C0">
        <w:rPr>
          <w:rFonts w:ascii="Times New Roman" w:hAnsi="Times New Roman" w:cs="Times New Roman"/>
          <w:sz w:val="24"/>
          <w:szCs w:val="24"/>
        </w:rPr>
        <w:t>.</w:t>
      </w:r>
      <w:r w:rsidR="00731923" w:rsidRPr="00D072C0">
        <w:rPr>
          <w:rFonts w:ascii="Times New Roman" w:hAnsi="Times New Roman" w:cs="Times New Roman"/>
          <w:sz w:val="24"/>
          <w:szCs w:val="24"/>
        </w:rPr>
        <w:t xml:space="preserve"> </w:t>
      </w:r>
      <w:r w:rsidR="001E5113" w:rsidRPr="00D072C0">
        <w:rPr>
          <w:rFonts w:ascii="Times New Roman" w:hAnsi="Times New Roman" w:cs="Times New Roman"/>
          <w:sz w:val="24"/>
          <w:szCs w:val="24"/>
        </w:rPr>
        <w:t xml:space="preserve"> </w:t>
      </w:r>
      <w:r w:rsidR="00783FDF" w:rsidRPr="00D072C0">
        <w:rPr>
          <w:rFonts w:ascii="Times New Roman" w:hAnsi="Times New Roman" w:cs="Times New Roman"/>
          <w:sz w:val="24"/>
          <w:szCs w:val="24"/>
        </w:rPr>
        <w:t>The “dry” western states, facing water scarcity since their inception, have generally embraced prior appropriations as the foundational principal for allocating water.   Often, volumetric allotments are clearly ascribed to users and those rights are typically prioritized on a first-in-time, first-in-right basis.  In contrast, t</w:t>
      </w:r>
      <w:r w:rsidR="00731923" w:rsidRPr="00D072C0">
        <w:rPr>
          <w:rFonts w:ascii="Times New Roman" w:hAnsi="Times New Roman" w:cs="Times New Roman"/>
          <w:sz w:val="24"/>
          <w:szCs w:val="24"/>
        </w:rPr>
        <w:t xml:space="preserve">he “wet” eastern states </w:t>
      </w:r>
      <w:r w:rsidR="001E5113" w:rsidRPr="00D072C0">
        <w:rPr>
          <w:rFonts w:ascii="Times New Roman" w:hAnsi="Times New Roman" w:cs="Times New Roman"/>
          <w:sz w:val="24"/>
          <w:szCs w:val="24"/>
        </w:rPr>
        <w:t xml:space="preserve">have generally </w:t>
      </w:r>
      <w:r w:rsidR="00731923" w:rsidRPr="00D072C0">
        <w:rPr>
          <w:rFonts w:ascii="Times New Roman" w:hAnsi="Times New Roman" w:cs="Times New Roman"/>
          <w:sz w:val="24"/>
          <w:szCs w:val="24"/>
        </w:rPr>
        <w:t>institut</w:t>
      </w:r>
      <w:r w:rsidR="001E5113" w:rsidRPr="00D072C0">
        <w:rPr>
          <w:rFonts w:ascii="Times New Roman" w:hAnsi="Times New Roman" w:cs="Times New Roman"/>
          <w:sz w:val="24"/>
          <w:szCs w:val="24"/>
        </w:rPr>
        <w:t>ed</w:t>
      </w:r>
      <w:r w:rsidR="00731923" w:rsidRPr="00D072C0">
        <w:rPr>
          <w:rFonts w:ascii="Times New Roman" w:hAnsi="Times New Roman" w:cs="Times New Roman"/>
          <w:sz w:val="24"/>
          <w:szCs w:val="24"/>
        </w:rPr>
        <w:t xml:space="preserve"> variants of the riparian doctrine</w:t>
      </w:r>
      <w:r w:rsidR="001E5113" w:rsidRPr="00D072C0">
        <w:rPr>
          <w:rFonts w:ascii="Times New Roman" w:hAnsi="Times New Roman" w:cs="Times New Roman"/>
          <w:sz w:val="24"/>
          <w:szCs w:val="24"/>
        </w:rPr>
        <w:t>,</w:t>
      </w:r>
      <w:r w:rsidR="00731923" w:rsidRPr="00D072C0">
        <w:rPr>
          <w:rFonts w:ascii="Times New Roman" w:hAnsi="Times New Roman" w:cs="Times New Roman"/>
          <w:sz w:val="24"/>
          <w:szCs w:val="24"/>
        </w:rPr>
        <w:t xml:space="preserve"> </w:t>
      </w:r>
      <w:r w:rsidR="001E5113" w:rsidRPr="00D072C0">
        <w:rPr>
          <w:rFonts w:ascii="Times New Roman" w:hAnsi="Times New Roman" w:cs="Times New Roman"/>
          <w:sz w:val="24"/>
          <w:szCs w:val="24"/>
        </w:rPr>
        <w:t xml:space="preserve">calling for “reasonable uses” of water that do not impinge upon the ability of others to also reasonably use water.  The underlying sentiment seems to be that the water is there for us to share.  Of course, sharing is easy when resources are abundant.  </w:t>
      </w:r>
    </w:p>
    <w:p w:rsidR="005C093E" w:rsidRPr="00D072C0" w:rsidRDefault="00783FDF" w:rsidP="00783FDF">
      <w:pPr>
        <w:ind w:firstLine="720"/>
        <w:rPr>
          <w:rFonts w:ascii="Times New Roman" w:hAnsi="Times New Roman" w:cs="Times New Roman"/>
          <w:sz w:val="24"/>
          <w:szCs w:val="24"/>
        </w:rPr>
      </w:pPr>
      <w:r w:rsidRPr="00D072C0">
        <w:rPr>
          <w:rFonts w:ascii="Times New Roman" w:hAnsi="Times New Roman" w:cs="Times New Roman"/>
          <w:sz w:val="24"/>
          <w:szCs w:val="24"/>
        </w:rPr>
        <w:t xml:space="preserve">While the eastern states have not been immune to periodic drought, </w:t>
      </w:r>
      <w:r w:rsidR="00F17836" w:rsidRPr="00D072C0">
        <w:rPr>
          <w:rFonts w:ascii="Times New Roman" w:hAnsi="Times New Roman" w:cs="Times New Roman"/>
          <w:sz w:val="24"/>
          <w:szCs w:val="24"/>
        </w:rPr>
        <w:t>o</w:t>
      </w:r>
      <w:r w:rsidRPr="00D072C0">
        <w:rPr>
          <w:rFonts w:ascii="Times New Roman" w:hAnsi="Times New Roman" w:cs="Times New Roman"/>
          <w:sz w:val="24"/>
          <w:szCs w:val="24"/>
        </w:rPr>
        <w:t xml:space="preserve">ver the past several decades </w:t>
      </w:r>
      <w:r w:rsidR="00DB2692" w:rsidRPr="00D072C0">
        <w:rPr>
          <w:rFonts w:ascii="Times New Roman" w:hAnsi="Times New Roman" w:cs="Times New Roman"/>
          <w:sz w:val="24"/>
          <w:szCs w:val="24"/>
        </w:rPr>
        <w:t xml:space="preserve">increasing populations and changes in agricultural production, particularly in the </w:t>
      </w:r>
      <w:r w:rsidR="00147568">
        <w:rPr>
          <w:rFonts w:ascii="Times New Roman" w:hAnsi="Times New Roman" w:cs="Times New Roman"/>
          <w:sz w:val="24"/>
          <w:szCs w:val="24"/>
        </w:rPr>
        <w:t>s</w:t>
      </w:r>
      <w:r w:rsidR="00DB2692" w:rsidRPr="00D072C0">
        <w:rPr>
          <w:rFonts w:ascii="Times New Roman" w:hAnsi="Times New Roman" w:cs="Times New Roman"/>
          <w:sz w:val="24"/>
          <w:szCs w:val="24"/>
        </w:rPr>
        <w:t xml:space="preserve">outheast, </w:t>
      </w:r>
      <w:r w:rsidRPr="00D072C0">
        <w:rPr>
          <w:rFonts w:ascii="Times New Roman" w:hAnsi="Times New Roman" w:cs="Times New Roman"/>
          <w:sz w:val="24"/>
          <w:szCs w:val="24"/>
        </w:rPr>
        <w:t xml:space="preserve">have </w:t>
      </w:r>
      <w:r w:rsidR="00F17836" w:rsidRPr="00D072C0">
        <w:rPr>
          <w:rFonts w:ascii="Times New Roman" w:hAnsi="Times New Roman" w:cs="Times New Roman"/>
          <w:sz w:val="24"/>
          <w:szCs w:val="24"/>
        </w:rPr>
        <w:t xml:space="preserve">jointly raised the specter of water scarcity as the new status quo.  In an effort to address future water scarcity issues, </w:t>
      </w:r>
      <w:r w:rsidR="00DB2692" w:rsidRPr="00D072C0">
        <w:rPr>
          <w:rFonts w:ascii="Times New Roman" w:hAnsi="Times New Roman" w:cs="Times New Roman"/>
          <w:sz w:val="24"/>
          <w:szCs w:val="24"/>
        </w:rPr>
        <w:t xml:space="preserve">several states have articulated the need for state-wide water planning.  Budgets constraints, however, have prevented many from dedicating the resources necessary for such an endeavor.   An exception is the state of </w:t>
      </w:r>
      <w:r w:rsidR="00F17836" w:rsidRPr="00D072C0">
        <w:rPr>
          <w:rFonts w:ascii="Times New Roman" w:hAnsi="Times New Roman" w:cs="Times New Roman"/>
          <w:sz w:val="24"/>
          <w:szCs w:val="24"/>
        </w:rPr>
        <w:t>Georgia</w:t>
      </w:r>
      <w:r w:rsidR="00DB2692" w:rsidRPr="00D072C0">
        <w:rPr>
          <w:rFonts w:ascii="Times New Roman" w:hAnsi="Times New Roman" w:cs="Times New Roman"/>
          <w:sz w:val="24"/>
          <w:szCs w:val="24"/>
        </w:rPr>
        <w:t xml:space="preserve">, which is scheduled to complete </w:t>
      </w:r>
      <w:r w:rsidR="00D078E6" w:rsidRPr="00D072C0">
        <w:rPr>
          <w:rFonts w:ascii="Times New Roman" w:hAnsi="Times New Roman" w:cs="Times New Roman"/>
          <w:sz w:val="24"/>
          <w:szCs w:val="24"/>
        </w:rPr>
        <w:t>the Statewide</w:t>
      </w:r>
      <w:r w:rsidR="00DB2692" w:rsidRPr="00D072C0">
        <w:rPr>
          <w:rFonts w:ascii="Times New Roman" w:hAnsi="Times New Roman" w:cs="Times New Roman"/>
          <w:sz w:val="24"/>
          <w:szCs w:val="24"/>
        </w:rPr>
        <w:t xml:space="preserve"> </w:t>
      </w:r>
      <w:r w:rsidR="00D078E6" w:rsidRPr="00D072C0">
        <w:rPr>
          <w:rFonts w:ascii="Times New Roman" w:hAnsi="Times New Roman" w:cs="Times New Roman"/>
          <w:sz w:val="24"/>
          <w:szCs w:val="24"/>
        </w:rPr>
        <w:t>C</w:t>
      </w:r>
      <w:r w:rsidR="00DB2692" w:rsidRPr="00D072C0">
        <w:rPr>
          <w:rFonts w:ascii="Times New Roman" w:hAnsi="Times New Roman" w:cs="Times New Roman"/>
          <w:sz w:val="24"/>
          <w:szCs w:val="24"/>
        </w:rPr>
        <w:t xml:space="preserve">omprehensive Water </w:t>
      </w:r>
      <w:r w:rsidR="00D078E6" w:rsidRPr="00D072C0">
        <w:rPr>
          <w:rFonts w:ascii="Times New Roman" w:hAnsi="Times New Roman" w:cs="Times New Roman"/>
          <w:sz w:val="24"/>
          <w:szCs w:val="24"/>
        </w:rPr>
        <w:t xml:space="preserve">Management </w:t>
      </w:r>
      <w:r w:rsidR="00DB2692" w:rsidRPr="00D072C0">
        <w:rPr>
          <w:rFonts w:ascii="Times New Roman" w:hAnsi="Times New Roman" w:cs="Times New Roman"/>
          <w:sz w:val="24"/>
          <w:szCs w:val="24"/>
        </w:rPr>
        <w:t>Plan by the end of 2011.  Eventually, when</w:t>
      </w:r>
      <w:r w:rsidR="00F17836" w:rsidRPr="00D072C0">
        <w:rPr>
          <w:rFonts w:ascii="Times New Roman" w:hAnsi="Times New Roman" w:cs="Times New Roman"/>
          <w:sz w:val="24"/>
          <w:szCs w:val="24"/>
        </w:rPr>
        <w:t xml:space="preserve"> other states in the region </w:t>
      </w:r>
      <w:r w:rsidR="00DB2692" w:rsidRPr="00D072C0">
        <w:rPr>
          <w:rFonts w:ascii="Times New Roman" w:hAnsi="Times New Roman" w:cs="Times New Roman"/>
          <w:sz w:val="24"/>
          <w:szCs w:val="24"/>
        </w:rPr>
        <w:t xml:space="preserve">embark on </w:t>
      </w:r>
      <w:r w:rsidR="004C5B9B" w:rsidRPr="00D072C0">
        <w:rPr>
          <w:rFonts w:ascii="Times New Roman" w:hAnsi="Times New Roman" w:cs="Times New Roman"/>
          <w:sz w:val="24"/>
          <w:szCs w:val="24"/>
        </w:rPr>
        <w:t>their own initiatives</w:t>
      </w:r>
      <w:r w:rsidR="00F17836" w:rsidRPr="00D072C0">
        <w:rPr>
          <w:rFonts w:ascii="Times New Roman" w:hAnsi="Times New Roman" w:cs="Times New Roman"/>
          <w:sz w:val="24"/>
          <w:szCs w:val="24"/>
        </w:rPr>
        <w:t xml:space="preserve">, they may learn from the approach Georgia has taken to </w:t>
      </w:r>
      <w:r w:rsidR="005C093E" w:rsidRPr="00D072C0">
        <w:rPr>
          <w:rFonts w:ascii="Times New Roman" w:hAnsi="Times New Roman" w:cs="Times New Roman"/>
          <w:sz w:val="24"/>
          <w:szCs w:val="24"/>
        </w:rPr>
        <w:t xml:space="preserve">planning for future water quantity and quality challenges.  </w:t>
      </w:r>
      <w:r w:rsidR="00F542C3" w:rsidRPr="00D072C0">
        <w:rPr>
          <w:rFonts w:ascii="Times New Roman" w:hAnsi="Times New Roman" w:cs="Times New Roman"/>
          <w:sz w:val="24"/>
          <w:szCs w:val="24"/>
        </w:rPr>
        <w:t xml:space="preserve">With that in mind, the objective of this paper is to highlight key aspects of Georgia’s state-wide </w:t>
      </w:r>
      <w:r w:rsidR="00F542C3" w:rsidRPr="00D072C0">
        <w:rPr>
          <w:rFonts w:ascii="Times New Roman" w:hAnsi="Times New Roman" w:cs="Times New Roman"/>
          <w:sz w:val="24"/>
          <w:szCs w:val="24"/>
        </w:rPr>
        <w:lastRenderedPageBreak/>
        <w:t>water planning process.</w:t>
      </w:r>
      <w:r w:rsidR="00D7309E" w:rsidRPr="00D072C0">
        <w:rPr>
          <w:rFonts w:ascii="Times New Roman" w:hAnsi="Times New Roman" w:cs="Times New Roman"/>
          <w:sz w:val="24"/>
          <w:szCs w:val="24"/>
        </w:rPr>
        <w:t xml:space="preserve">  Additional details for much of the information presented here is available online at </w:t>
      </w:r>
      <w:hyperlink r:id="rId8" w:history="1">
        <w:r w:rsidR="00D7309E" w:rsidRPr="00D072C0">
          <w:rPr>
            <w:rStyle w:val="Hyperlink"/>
            <w:rFonts w:ascii="Times New Roman" w:hAnsi="Times New Roman" w:cs="Times New Roman"/>
            <w:sz w:val="24"/>
            <w:szCs w:val="24"/>
          </w:rPr>
          <w:t>www.georgiawaterplanning.org</w:t>
        </w:r>
      </w:hyperlink>
      <w:r w:rsidR="00D7309E" w:rsidRPr="00D072C0">
        <w:rPr>
          <w:rFonts w:ascii="Times New Roman" w:hAnsi="Times New Roman" w:cs="Times New Roman"/>
          <w:sz w:val="24"/>
          <w:szCs w:val="24"/>
        </w:rPr>
        <w:t xml:space="preserve">.  </w:t>
      </w:r>
    </w:p>
    <w:p w:rsidR="005C093E" w:rsidRPr="00D072C0" w:rsidRDefault="00351BAA" w:rsidP="00351BAA">
      <w:pPr>
        <w:rPr>
          <w:rFonts w:ascii="Times New Roman" w:hAnsi="Times New Roman" w:cs="Times New Roman"/>
          <w:b/>
          <w:sz w:val="24"/>
          <w:szCs w:val="24"/>
        </w:rPr>
      </w:pPr>
      <w:r w:rsidRPr="00D072C0">
        <w:rPr>
          <w:rFonts w:ascii="Times New Roman" w:hAnsi="Times New Roman" w:cs="Times New Roman"/>
          <w:b/>
          <w:sz w:val="24"/>
          <w:szCs w:val="24"/>
        </w:rPr>
        <w:t>Background</w:t>
      </w:r>
    </w:p>
    <w:p w:rsidR="00351BAA" w:rsidRPr="00D072C0" w:rsidRDefault="00351BAA" w:rsidP="00351BAA">
      <w:pPr>
        <w:rPr>
          <w:rFonts w:ascii="Times New Roman" w:hAnsi="Times New Roman" w:cs="Times New Roman"/>
          <w:sz w:val="24"/>
          <w:szCs w:val="24"/>
        </w:rPr>
      </w:pPr>
      <w:r w:rsidRPr="00D072C0">
        <w:rPr>
          <w:rFonts w:ascii="Times New Roman" w:hAnsi="Times New Roman" w:cs="Times New Roman"/>
          <w:sz w:val="24"/>
          <w:szCs w:val="24"/>
        </w:rPr>
        <w:t>As mentioned earlier, the southeastern United States, including the state of Georgia, has weathered numerous, multi-year droughts over the last 120 years.  This can be seen across a number of indices including the Standardized Precipitation Index (SPI), Palmer Z Index, Palmer Drought Severity Index (PDSI), and Palmer Hydrological Drought Index (PHDI).</w:t>
      </w:r>
      <w:r w:rsidR="00643899" w:rsidRPr="00D072C0">
        <w:rPr>
          <w:rFonts w:ascii="Times New Roman" w:hAnsi="Times New Roman" w:cs="Times New Roman"/>
          <w:sz w:val="24"/>
          <w:szCs w:val="24"/>
        </w:rPr>
        <w:t xml:space="preserve">  </w:t>
      </w:r>
      <w:r w:rsidR="005936BA" w:rsidRPr="00D072C0">
        <w:rPr>
          <w:rFonts w:ascii="Times New Roman" w:hAnsi="Times New Roman" w:cs="Times New Roman"/>
          <w:sz w:val="24"/>
          <w:szCs w:val="24"/>
        </w:rPr>
        <w:t xml:space="preserve">Over the past 40 years, however, the impact of these supply shortfalls has been exacerbated by considerable increases in water demand.   Figure 2, using population and irrigated acres as proxies for potential water demand, </w:t>
      </w:r>
      <w:proofErr w:type="gramStart"/>
      <w:r w:rsidR="005936BA" w:rsidRPr="00D072C0">
        <w:rPr>
          <w:rFonts w:ascii="Times New Roman" w:hAnsi="Times New Roman" w:cs="Times New Roman"/>
          <w:sz w:val="24"/>
          <w:szCs w:val="24"/>
        </w:rPr>
        <w:t>illustrates</w:t>
      </w:r>
      <w:proofErr w:type="gramEnd"/>
      <w:r w:rsidR="005936BA" w:rsidRPr="00D072C0">
        <w:rPr>
          <w:rFonts w:ascii="Times New Roman" w:hAnsi="Times New Roman" w:cs="Times New Roman"/>
          <w:sz w:val="24"/>
          <w:szCs w:val="24"/>
        </w:rPr>
        <w:t xml:space="preserve"> how conditions have changed </w:t>
      </w:r>
      <w:r w:rsidR="003B0D2D" w:rsidRPr="00D072C0">
        <w:rPr>
          <w:rFonts w:ascii="Times New Roman" w:hAnsi="Times New Roman" w:cs="Times New Roman"/>
          <w:sz w:val="24"/>
          <w:szCs w:val="24"/>
        </w:rPr>
        <w:t>over the past century</w:t>
      </w:r>
      <w:r w:rsidR="005936BA" w:rsidRPr="00D072C0">
        <w:rPr>
          <w:rFonts w:ascii="Times New Roman" w:hAnsi="Times New Roman" w:cs="Times New Roman"/>
          <w:sz w:val="24"/>
          <w:szCs w:val="24"/>
        </w:rPr>
        <w:t xml:space="preserve">.  </w:t>
      </w:r>
    </w:p>
    <w:p w:rsidR="00F14CC2" w:rsidRPr="00D072C0" w:rsidRDefault="002C19A8" w:rsidP="00351BAA">
      <w:pPr>
        <w:rPr>
          <w:rFonts w:ascii="Times New Roman" w:hAnsi="Times New Roman" w:cs="Times New Roman"/>
          <w:sz w:val="24"/>
          <w:szCs w:val="24"/>
        </w:rPr>
      </w:pPr>
      <w:r w:rsidRPr="00D072C0">
        <w:rPr>
          <w:rFonts w:ascii="Times New Roman" w:hAnsi="Times New Roman" w:cs="Times New Roman"/>
          <w:sz w:val="24"/>
          <w:szCs w:val="24"/>
        </w:rPr>
        <w:tab/>
        <w:t xml:space="preserve">The effects of population growth </w:t>
      </w:r>
      <w:r w:rsidR="0031165E" w:rsidRPr="00D072C0">
        <w:rPr>
          <w:rFonts w:ascii="Times New Roman" w:hAnsi="Times New Roman" w:cs="Times New Roman"/>
          <w:sz w:val="24"/>
          <w:szCs w:val="24"/>
        </w:rPr>
        <w:t xml:space="preserve">and agricultural production </w:t>
      </w:r>
      <w:r w:rsidR="005C38F7" w:rsidRPr="00D072C0">
        <w:rPr>
          <w:rFonts w:ascii="Times New Roman" w:hAnsi="Times New Roman" w:cs="Times New Roman"/>
          <w:sz w:val="24"/>
          <w:szCs w:val="24"/>
        </w:rPr>
        <w:t xml:space="preserve">on water resources </w:t>
      </w:r>
      <w:r w:rsidRPr="00D072C0">
        <w:rPr>
          <w:rFonts w:ascii="Times New Roman" w:hAnsi="Times New Roman" w:cs="Times New Roman"/>
          <w:sz w:val="24"/>
          <w:szCs w:val="24"/>
        </w:rPr>
        <w:t xml:space="preserve">are not restricted to drought years in Georgia.  The rapid increase in population around the Atlanta metropolitan area since 1980 has </w:t>
      </w:r>
      <w:r w:rsidR="00204519" w:rsidRPr="00D072C0">
        <w:rPr>
          <w:rFonts w:ascii="Times New Roman" w:hAnsi="Times New Roman" w:cs="Times New Roman"/>
          <w:sz w:val="24"/>
          <w:szCs w:val="24"/>
        </w:rPr>
        <w:t xml:space="preserve">also </w:t>
      </w:r>
      <w:r w:rsidRPr="00D072C0">
        <w:rPr>
          <w:rFonts w:ascii="Times New Roman" w:hAnsi="Times New Roman" w:cs="Times New Roman"/>
          <w:sz w:val="24"/>
          <w:szCs w:val="24"/>
        </w:rPr>
        <w:t xml:space="preserve">led to prolonged legal </w:t>
      </w:r>
      <w:r w:rsidR="00204519" w:rsidRPr="00D072C0">
        <w:rPr>
          <w:rFonts w:ascii="Times New Roman" w:hAnsi="Times New Roman" w:cs="Times New Roman"/>
          <w:sz w:val="24"/>
          <w:szCs w:val="24"/>
        </w:rPr>
        <w:t xml:space="preserve">battles </w:t>
      </w:r>
      <w:r w:rsidRPr="00D072C0">
        <w:rPr>
          <w:rFonts w:ascii="Times New Roman" w:hAnsi="Times New Roman" w:cs="Times New Roman"/>
          <w:sz w:val="24"/>
          <w:szCs w:val="24"/>
        </w:rPr>
        <w:t xml:space="preserve">with two of Georgia’s neighbors, Alabama and Florida.   </w:t>
      </w:r>
      <w:r w:rsidR="00F14CC2" w:rsidRPr="00D072C0">
        <w:rPr>
          <w:rFonts w:ascii="Times New Roman" w:hAnsi="Times New Roman" w:cs="Times New Roman"/>
          <w:sz w:val="24"/>
          <w:szCs w:val="24"/>
        </w:rPr>
        <w:t xml:space="preserve">One </w:t>
      </w:r>
      <w:r w:rsidR="0031165E" w:rsidRPr="00D072C0">
        <w:rPr>
          <w:rFonts w:ascii="Times New Roman" w:hAnsi="Times New Roman" w:cs="Times New Roman"/>
          <w:sz w:val="24"/>
          <w:szCs w:val="24"/>
        </w:rPr>
        <w:t>point of contention is the flow of the Chattahoochee River</w:t>
      </w:r>
      <w:r w:rsidR="00F14CC2" w:rsidRPr="00D072C0">
        <w:rPr>
          <w:rFonts w:ascii="Times New Roman" w:hAnsi="Times New Roman" w:cs="Times New Roman"/>
          <w:sz w:val="24"/>
          <w:szCs w:val="24"/>
        </w:rPr>
        <w:t>,</w:t>
      </w:r>
      <w:r w:rsidR="0031165E" w:rsidRPr="00D072C0">
        <w:rPr>
          <w:rFonts w:ascii="Times New Roman" w:hAnsi="Times New Roman" w:cs="Times New Roman"/>
          <w:sz w:val="24"/>
          <w:szCs w:val="24"/>
        </w:rPr>
        <w:t xml:space="preserve"> which runs nearly half the length of the Georgia-Alabama border.  At its confluence with the Flint River the </w:t>
      </w:r>
      <w:r w:rsidR="00147568" w:rsidRPr="00D072C0">
        <w:rPr>
          <w:rFonts w:ascii="Times New Roman" w:hAnsi="Times New Roman" w:cs="Times New Roman"/>
          <w:sz w:val="24"/>
          <w:szCs w:val="24"/>
        </w:rPr>
        <w:t>Apalachicola</w:t>
      </w:r>
      <w:r w:rsidR="00F14CC2" w:rsidRPr="00D072C0">
        <w:rPr>
          <w:rFonts w:ascii="Times New Roman" w:hAnsi="Times New Roman" w:cs="Times New Roman"/>
          <w:sz w:val="24"/>
          <w:szCs w:val="24"/>
        </w:rPr>
        <w:t xml:space="preserve"> River is born</w:t>
      </w:r>
      <w:r w:rsidR="0031165E" w:rsidRPr="00D072C0">
        <w:rPr>
          <w:rFonts w:ascii="Times New Roman" w:hAnsi="Times New Roman" w:cs="Times New Roman"/>
          <w:sz w:val="24"/>
          <w:szCs w:val="24"/>
        </w:rPr>
        <w:t xml:space="preserve"> and travels through the Florida panhandle to the Gulf of Mexico.  </w:t>
      </w:r>
    </w:p>
    <w:p w:rsidR="00D46777" w:rsidRPr="00D072C0" w:rsidRDefault="00F14CC2" w:rsidP="00F14CC2">
      <w:pPr>
        <w:ind w:firstLine="720"/>
        <w:rPr>
          <w:rFonts w:ascii="Times New Roman" w:hAnsi="Times New Roman" w:cs="Times New Roman"/>
          <w:sz w:val="24"/>
          <w:szCs w:val="24"/>
        </w:rPr>
      </w:pPr>
      <w:r w:rsidRPr="00D072C0">
        <w:rPr>
          <w:rFonts w:ascii="Times New Roman" w:hAnsi="Times New Roman" w:cs="Times New Roman"/>
          <w:sz w:val="24"/>
          <w:szCs w:val="24"/>
        </w:rPr>
        <w:t xml:space="preserve">In the late 1980s, the U.S. Army Corps of Engineers formally recommended part of Lake Lanier, a reservoir on the Chattahoochee River north of Atlanta, </w:t>
      </w:r>
      <w:proofErr w:type="gramStart"/>
      <w:r w:rsidRPr="00D072C0">
        <w:rPr>
          <w:rFonts w:ascii="Times New Roman" w:hAnsi="Times New Roman" w:cs="Times New Roman"/>
          <w:sz w:val="24"/>
          <w:szCs w:val="24"/>
        </w:rPr>
        <w:t>be</w:t>
      </w:r>
      <w:proofErr w:type="gramEnd"/>
      <w:r w:rsidRPr="00D072C0">
        <w:rPr>
          <w:rFonts w:ascii="Times New Roman" w:hAnsi="Times New Roman" w:cs="Times New Roman"/>
          <w:sz w:val="24"/>
          <w:szCs w:val="24"/>
        </w:rPr>
        <w:t xml:space="preserve"> allocated for use by metropolitan Atlanta.  This prompted Alabama to contest the legality of the allocation – the </w:t>
      </w:r>
      <w:r w:rsidR="00147568">
        <w:rPr>
          <w:rFonts w:ascii="Times New Roman" w:hAnsi="Times New Roman" w:cs="Times New Roman"/>
          <w:sz w:val="24"/>
          <w:szCs w:val="24"/>
        </w:rPr>
        <w:t>l</w:t>
      </w:r>
      <w:r w:rsidRPr="00D072C0">
        <w:rPr>
          <w:rFonts w:ascii="Times New Roman" w:hAnsi="Times New Roman" w:cs="Times New Roman"/>
          <w:sz w:val="24"/>
          <w:szCs w:val="24"/>
        </w:rPr>
        <w:t xml:space="preserve">ake had never been designated for water supply, but rather for hydropower generation.   </w:t>
      </w:r>
      <w:r w:rsidR="00D46777" w:rsidRPr="00D072C0">
        <w:rPr>
          <w:rFonts w:ascii="Times New Roman" w:hAnsi="Times New Roman" w:cs="Times New Roman"/>
          <w:sz w:val="24"/>
          <w:szCs w:val="24"/>
        </w:rPr>
        <w:t>Florida’s concerns for flows in the Apalach</w:t>
      </w:r>
      <w:r w:rsidR="00DF199C" w:rsidRPr="00D072C0">
        <w:rPr>
          <w:rFonts w:ascii="Times New Roman" w:hAnsi="Times New Roman" w:cs="Times New Roman"/>
          <w:sz w:val="24"/>
          <w:szCs w:val="24"/>
        </w:rPr>
        <w:t>i</w:t>
      </w:r>
      <w:r w:rsidR="00D46777" w:rsidRPr="00D072C0">
        <w:rPr>
          <w:rFonts w:ascii="Times New Roman" w:hAnsi="Times New Roman" w:cs="Times New Roman"/>
          <w:sz w:val="24"/>
          <w:szCs w:val="24"/>
        </w:rPr>
        <w:t xml:space="preserve">cola River, which are related to flows in the Chattahoochee and Flint rivers, led to further legal trouble for Georgia.  </w:t>
      </w:r>
      <w:r w:rsidR="00DF4F95" w:rsidRPr="00D072C0">
        <w:rPr>
          <w:rFonts w:ascii="Times New Roman" w:hAnsi="Times New Roman" w:cs="Times New Roman"/>
          <w:sz w:val="24"/>
          <w:szCs w:val="24"/>
        </w:rPr>
        <w:t>T</w:t>
      </w:r>
      <w:r w:rsidR="00D46777" w:rsidRPr="00D072C0">
        <w:rPr>
          <w:rFonts w:ascii="Times New Roman" w:hAnsi="Times New Roman" w:cs="Times New Roman"/>
          <w:sz w:val="24"/>
          <w:szCs w:val="24"/>
        </w:rPr>
        <w:t xml:space="preserve">he legal uncertainty of the state’s water supply </w:t>
      </w:r>
      <w:r w:rsidR="00DF4F95" w:rsidRPr="00D072C0">
        <w:rPr>
          <w:rFonts w:ascii="Times New Roman" w:hAnsi="Times New Roman" w:cs="Times New Roman"/>
          <w:sz w:val="24"/>
          <w:szCs w:val="24"/>
        </w:rPr>
        <w:t xml:space="preserve">– which continues to date – </w:t>
      </w:r>
      <w:r w:rsidR="00D46777" w:rsidRPr="00D072C0">
        <w:rPr>
          <w:rFonts w:ascii="Times New Roman" w:hAnsi="Times New Roman" w:cs="Times New Roman"/>
          <w:sz w:val="24"/>
          <w:szCs w:val="24"/>
        </w:rPr>
        <w:t xml:space="preserve">coupled with water demand pressures </w:t>
      </w:r>
      <w:r w:rsidR="00DF199C" w:rsidRPr="00D072C0">
        <w:rPr>
          <w:rFonts w:ascii="Times New Roman" w:hAnsi="Times New Roman" w:cs="Times New Roman"/>
          <w:sz w:val="24"/>
          <w:szCs w:val="24"/>
        </w:rPr>
        <w:t xml:space="preserve">and a drought </w:t>
      </w:r>
      <w:r w:rsidR="00D46777" w:rsidRPr="00D072C0">
        <w:rPr>
          <w:rFonts w:ascii="Times New Roman" w:hAnsi="Times New Roman" w:cs="Times New Roman"/>
          <w:sz w:val="24"/>
          <w:szCs w:val="24"/>
        </w:rPr>
        <w:t xml:space="preserve">led the Association of County Commissioners of Georgia to call for a comprehensive water plan for the state </w:t>
      </w:r>
      <w:r w:rsidR="00742782" w:rsidRPr="00D072C0">
        <w:rPr>
          <w:rFonts w:ascii="Times New Roman" w:hAnsi="Times New Roman" w:cs="Times New Roman"/>
          <w:sz w:val="24"/>
          <w:szCs w:val="24"/>
        </w:rPr>
        <w:t>in 1999</w:t>
      </w:r>
      <w:r w:rsidR="000A46CF" w:rsidRPr="00D072C0">
        <w:rPr>
          <w:rFonts w:ascii="Times New Roman" w:hAnsi="Times New Roman" w:cs="Times New Roman"/>
          <w:sz w:val="24"/>
          <w:szCs w:val="24"/>
        </w:rPr>
        <w:t>.</w:t>
      </w:r>
      <w:r w:rsidR="00742782" w:rsidRPr="00D072C0">
        <w:rPr>
          <w:rFonts w:ascii="Times New Roman" w:hAnsi="Times New Roman" w:cs="Times New Roman"/>
          <w:sz w:val="24"/>
          <w:szCs w:val="24"/>
        </w:rPr>
        <w:t xml:space="preserve">  </w:t>
      </w:r>
      <w:r w:rsidR="006331B8" w:rsidRPr="00D072C0">
        <w:rPr>
          <w:rFonts w:ascii="Times New Roman" w:hAnsi="Times New Roman" w:cs="Times New Roman"/>
          <w:sz w:val="24"/>
          <w:szCs w:val="24"/>
        </w:rPr>
        <w:t xml:space="preserve">By 2004, Georgia’s General Assembly passed the Comprehensive Statewide Water Management Planning Act, hereafter referred to </w:t>
      </w:r>
      <w:r w:rsidR="00147568">
        <w:rPr>
          <w:rFonts w:ascii="Times New Roman" w:hAnsi="Times New Roman" w:cs="Times New Roman"/>
          <w:sz w:val="24"/>
          <w:szCs w:val="24"/>
        </w:rPr>
        <w:t xml:space="preserve">as </w:t>
      </w:r>
      <w:r w:rsidR="006331B8" w:rsidRPr="00D072C0">
        <w:rPr>
          <w:rFonts w:ascii="Times New Roman" w:hAnsi="Times New Roman" w:cs="Times New Roman"/>
          <w:sz w:val="24"/>
          <w:szCs w:val="24"/>
        </w:rPr>
        <w:t xml:space="preserve">“the Act”. </w:t>
      </w:r>
    </w:p>
    <w:p w:rsidR="0031165E" w:rsidRPr="00D072C0" w:rsidRDefault="006331B8" w:rsidP="00351BAA">
      <w:pPr>
        <w:rPr>
          <w:rFonts w:ascii="Times New Roman" w:hAnsi="Times New Roman" w:cs="Times New Roman"/>
          <w:sz w:val="24"/>
          <w:szCs w:val="24"/>
        </w:rPr>
      </w:pPr>
      <w:r w:rsidRPr="00D072C0">
        <w:rPr>
          <w:rFonts w:ascii="Times New Roman" w:hAnsi="Times New Roman" w:cs="Times New Roman"/>
          <w:sz w:val="24"/>
          <w:szCs w:val="24"/>
        </w:rPr>
        <w:tab/>
        <w:t xml:space="preserve">The Act set forward a number of </w:t>
      </w:r>
      <w:r w:rsidR="00665A9F" w:rsidRPr="00D072C0">
        <w:rPr>
          <w:rFonts w:ascii="Times New Roman" w:hAnsi="Times New Roman" w:cs="Times New Roman"/>
          <w:sz w:val="24"/>
          <w:szCs w:val="24"/>
        </w:rPr>
        <w:t xml:space="preserve">guiding </w:t>
      </w:r>
      <w:r w:rsidRPr="00D072C0">
        <w:rPr>
          <w:rFonts w:ascii="Times New Roman" w:hAnsi="Times New Roman" w:cs="Times New Roman"/>
          <w:sz w:val="24"/>
          <w:szCs w:val="24"/>
        </w:rPr>
        <w:t xml:space="preserve">principles and </w:t>
      </w:r>
      <w:r w:rsidR="000762A5" w:rsidRPr="00D072C0">
        <w:rPr>
          <w:rFonts w:ascii="Times New Roman" w:hAnsi="Times New Roman" w:cs="Times New Roman"/>
          <w:sz w:val="24"/>
          <w:szCs w:val="24"/>
        </w:rPr>
        <w:t xml:space="preserve">established a </w:t>
      </w:r>
      <w:r w:rsidR="00147568">
        <w:rPr>
          <w:rFonts w:ascii="Times New Roman" w:hAnsi="Times New Roman" w:cs="Times New Roman"/>
          <w:sz w:val="24"/>
          <w:szCs w:val="24"/>
        </w:rPr>
        <w:t>w</w:t>
      </w:r>
      <w:r w:rsidR="000762A5" w:rsidRPr="00D072C0">
        <w:rPr>
          <w:rFonts w:ascii="Times New Roman" w:hAnsi="Times New Roman" w:cs="Times New Roman"/>
          <w:sz w:val="24"/>
          <w:szCs w:val="24"/>
        </w:rPr>
        <w:t xml:space="preserve">ater </w:t>
      </w:r>
      <w:r w:rsidR="00147568">
        <w:rPr>
          <w:rFonts w:ascii="Times New Roman" w:hAnsi="Times New Roman" w:cs="Times New Roman"/>
          <w:sz w:val="24"/>
          <w:szCs w:val="24"/>
        </w:rPr>
        <w:t>c</w:t>
      </w:r>
      <w:r w:rsidR="000762A5" w:rsidRPr="00D072C0">
        <w:rPr>
          <w:rFonts w:ascii="Times New Roman" w:hAnsi="Times New Roman" w:cs="Times New Roman"/>
          <w:sz w:val="24"/>
          <w:szCs w:val="24"/>
        </w:rPr>
        <w:t xml:space="preserve">ouncil to coordinate the planning process.  The </w:t>
      </w:r>
      <w:r w:rsidR="00147568">
        <w:rPr>
          <w:rFonts w:ascii="Times New Roman" w:hAnsi="Times New Roman" w:cs="Times New Roman"/>
          <w:sz w:val="24"/>
          <w:szCs w:val="24"/>
        </w:rPr>
        <w:t>w</w:t>
      </w:r>
      <w:r w:rsidR="000762A5" w:rsidRPr="00D072C0">
        <w:rPr>
          <w:rFonts w:ascii="Times New Roman" w:hAnsi="Times New Roman" w:cs="Times New Roman"/>
          <w:sz w:val="24"/>
          <w:szCs w:val="24"/>
        </w:rPr>
        <w:t xml:space="preserve">ater </w:t>
      </w:r>
      <w:r w:rsidR="00147568">
        <w:rPr>
          <w:rFonts w:ascii="Times New Roman" w:hAnsi="Times New Roman" w:cs="Times New Roman"/>
          <w:sz w:val="24"/>
          <w:szCs w:val="24"/>
        </w:rPr>
        <w:t>c</w:t>
      </w:r>
      <w:r w:rsidR="000762A5" w:rsidRPr="00D072C0">
        <w:rPr>
          <w:rFonts w:ascii="Times New Roman" w:hAnsi="Times New Roman" w:cs="Times New Roman"/>
          <w:sz w:val="24"/>
          <w:szCs w:val="24"/>
        </w:rPr>
        <w:t xml:space="preserve">ouncil was comprised of </w:t>
      </w:r>
      <w:r w:rsidR="00D20F53" w:rsidRPr="00D072C0">
        <w:rPr>
          <w:rFonts w:ascii="Times New Roman" w:hAnsi="Times New Roman" w:cs="Times New Roman"/>
          <w:sz w:val="24"/>
          <w:szCs w:val="24"/>
        </w:rPr>
        <w:t>2 political appointees</w:t>
      </w:r>
      <w:r w:rsidR="00097E30" w:rsidRPr="00D072C0">
        <w:rPr>
          <w:rFonts w:ascii="Times New Roman" w:hAnsi="Times New Roman" w:cs="Times New Roman"/>
          <w:sz w:val="24"/>
          <w:szCs w:val="24"/>
        </w:rPr>
        <w:t xml:space="preserve"> (one appointed by the </w:t>
      </w:r>
      <w:r w:rsidR="00147568">
        <w:rPr>
          <w:rFonts w:ascii="Times New Roman" w:hAnsi="Times New Roman" w:cs="Times New Roman"/>
          <w:sz w:val="24"/>
          <w:szCs w:val="24"/>
        </w:rPr>
        <w:t>s</w:t>
      </w:r>
      <w:r w:rsidR="00097E30" w:rsidRPr="00D072C0">
        <w:rPr>
          <w:rFonts w:ascii="Times New Roman" w:hAnsi="Times New Roman" w:cs="Times New Roman"/>
          <w:sz w:val="24"/>
          <w:szCs w:val="24"/>
        </w:rPr>
        <w:t xml:space="preserve">peaker of the </w:t>
      </w:r>
      <w:r w:rsidR="00147568">
        <w:rPr>
          <w:rFonts w:ascii="Times New Roman" w:hAnsi="Times New Roman" w:cs="Times New Roman"/>
          <w:sz w:val="24"/>
          <w:szCs w:val="24"/>
        </w:rPr>
        <w:t>h</w:t>
      </w:r>
      <w:r w:rsidR="00097E30" w:rsidRPr="00D072C0">
        <w:rPr>
          <w:rFonts w:ascii="Times New Roman" w:hAnsi="Times New Roman" w:cs="Times New Roman"/>
          <w:sz w:val="24"/>
          <w:szCs w:val="24"/>
        </w:rPr>
        <w:t xml:space="preserve">ouse and one appointed by the </w:t>
      </w:r>
      <w:r w:rsidR="00147568">
        <w:rPr>
          <w:rFonts w:ascii="Times New Roman" w:hAnsi="Times New Roman" w:cs="Times New Roman"/>
          <w:sz w:val="24"/>
          <w:szCs w:val="24"/>
        </w:rPr>
        <w:t>p</w:t>
      </w:r>
      <w:r w:rsidR="00097E30" w:rsidRPr="00D072C0">
        <w:rPr>
          <w:rFonts w:ascii="Times New Roman" w:hAnsi="Times New Roman" w:cs="Times New Roman"/>
          <w:sz w:val="24"/>
          <w:szCs w:val="24"/>
        </w:rPr>
        <w:t xml:space="preserve">resident </w:t>
      </w:r>
      <w:r w:rsidR="00147568">
        <w:rPr>
          <w:rFonts w:ascii="Times New Roman" w:hAnsi="Times New Roman" w:cs="Times New Roman"/>
          <w:sz w:val="24"/>
          <w:szCs w:val="24"/>
        </w:rPr>
        <w:t>p</w:t>
      </w:r>
      <w:r w:rsidR="00097E30" w:rsidRPr="00D072C0">
        <w:rPr>
          <w:rFonts w:ascii="Times New Roman" w:hAnsi="Times New Roman" w:cs="Times New Roman"/>
          <w:sz w:val="24"/>
          <w:szCs w:val="24"/>
        </w:rPr>
        <w:t xml:space="preserve">ro </w:t>
      </w:r>
      <w:r w:rsidR="00E00057">
        <w:rPr>
          <w:rFonts w:ascii="Times New Roman" w:hAnsi="Times New Roman" w:cs="Times New Roman"/>
          <w:sz w:val="24"/>
          <w:szCs w:val="24"/>
        </w:rPr>
        <w:t>t</w:t>
      </w:r>
      <w:r w:rsidR="00097E30" w:rsidRPr="00D072C0">
        <w:rPr>
          <w:rFonts w:ascii="Times New Roman" w:hAnsi="Times New Roman" w:cs="Times New Roman"/>
          <w:sz w:val="24"/>
          <w:szCs w:val="24"/>
        </w:rPr>
        <w:t xml:space="preserve">empore of the </w:t>
      </w:r>
      <w:r w:rsidR="00147568">
        <w:rPr>
          <w:rFonts w:ascii="Times New Roman" w:hAnsi="Times New Roman" w:cs="Times New Roman"/>
          <w:sz w:val="24"/>
          <w:szCs w:val="24"/>
        </w:rPr>
        <w:t>s</w:t>
      </w:r>
      <w:r w:rsidR="00097E30" w:rsidRPr="00D072C0">
        <w:rPr>
          <w:rFonts w:ascii="Times New Roman" w:hAnsi="Times New Roman" w:cs="Times New Roman"/>
          <w:sz w:val="24"/>
          <w:szCs w:val="24"/>
        </w:rPr>
        <w:t xml:space="preserve">enate), the </w:t>
      </w:r>
      <w:r w:rsidR="00D20F53" w:rsidRPr="00D072C0">
        <w:rPr>
          <w:rFonts w:ascii="Times New Roman" w:hAnsi="Times New Roman" w:cs="Times New Roman"/>
          <w:sz w:val="24"/>
          <w:szCs w:val="24"/>
        </w:rPr>
        <w:t xml:space="preserve">chairpersons of the Georgia House and Senate Natural Resource and Environment </w:t>
      </w:r>
      <w:r w:rsidR="00147568">
        <w:rPr>
          <w:rFonts w:ascii="Times New Roman" w:hAnsi="Times New Roman" w:cs="Times New Roman"/>
          <w:sz w:val="24"/>
          <w:szCs w:val="24"/>
        </w:rPr>
        <w:t>C</w:t>
      </w:r>
      <w:r w:rsidR="00D20F53" w:rsidRPr="00D072C0">
        <w:rPr>
          <w:rFonts w:ascii="Times New Roman" w:hAnsi="Times New Roman" w:cs="Times New Roman"/>
          <w:sz w:val="24"/>
          <w:szCs w:val="24"/>
        </w:rPr>
        <w:t xml:space="preserve">ommittees, </w:t>
      </w:r>
      <w:r w:rsidR="00097E30" w:rsidRPr="00D072C0">
        <w:rPr>
          <w:rFonts w:ascii="Times New Roman" w:hAnsi="Times New Roman" w:cs="Times New Roman"/>
          <w:sz w:val="24"/>
          <w:szCs w:val="24"/>
        </w:rPr>
        <w:t xml:space="preserve">the </w:t>
      </w:r>
      <w:r w:rsidR="00147568">
        <w:rPr>
          <w:rFonts w:ascii="Times New Roman" w:hAnsi="Times New Roman" w:cs="Times New Roman"/>
          <w:sz w:val="24"/>
          <w:szCs w:val="24"/>
        </w:rPr>
        <w:t>d</w:t>
      </w:r>
      <w:r w:rsidR="00097E30" w:rsidRPr="00D072C0">
        <w:rPr>
          <w:rFonts w:ascii="Times New Roman" w:hAnsi="Times New Roman" w:cs="Times New Roman"/>
          <w:sz w:val="24"/>
          <w:szCs w:val="24"/>
        </w:rPr>
        <w:t xml:space="preserve">irector of the Environmental Protection Division </w:t>
      </w:r>
      <w:r w:rsidR="00410F66" w:rsidRPr="00D072C0">
        <w:rPr>
          <w:rFonts w:ascii="Times New Roman" w:hAnsi="Times New Roman" w:cs="Times New Roman"/>
          <w:sz w:val="24"/>
          <w:szCs w:val="24"/>
        </w:rPr>
        <w:t xml:space="preserve">(EPD) </w:t>
      </w:r>
      <w:r w:rsidR="00097E30" w:rsidRPr="00D072C0">
        <w:rPr>
          <w:rFonts w:ascii="Times New Roman" w:hAnsi="Times New Roman" w:cs="Times New Roman"/>
          <w:sz w:val="24"/>
          <w:szCs w:val="24"/>
        </w:rPr>
        <w:t>of the Department of Natural Resources, and several other governmental officials</w:t>
      </w:r>
      <w:r w:rsidR="00513C23" w:rsidRPr="00D072C0">
        <w:rPr>
          <w:rStyle w:val="FootnoteReference"/>
          <w:rFonts w:ascii="Times New Roman" w:hAnsi="Times New Roman" w:cs="Times New Roman"/>
          <w:sz w:val="24"/>
          <w:szCs w:val="24"/>
        </w:rPr>
        <w:footnoteReference w:id="1"/>
      </w:r>
      <w:r w:rsidR="00513C23" w:rsidRPr="00D072C0">
        <w:rPr>
          <w:rFonts w:ascii="Times New Roman" w:hAnsi="Times New Roman" w:cs="Times New Roman"/>
          <w:sz w:val="24"/>
          <w:szCs w:val="24"/>
        </w:rPr>
        <w:t>.</w:t>
      </w:r>
      <w:r w:rsidR="00D02078" w:rsidRPr="00D072C0">
        <w:rPr>
          <w:rFonts w:ascii="Times New Roman" w:hAnsi="Times New Roman" w:cs="Times New Roman"/>
          <w:sz w:val="24"/>
          <w:szCs w:val="24"/>
        </w:rPr>
        <w:t xml:space="preserve">  The guiding principles </w:t>
      </w:r>
      <w:r w:rsidR="00D02078" w:rsidRPr="00D072C0">
        <w:rPr>
          <w:rFonts w:ascii="Times New Roman" w:hAnsi="Times New Roman" w:cs="Times New Roman"/>
          <w:sz w:val="24"/>
          <w:szCs w:val="24"/>
        </w:rPr>
        <w:lastRenderedPageBreak/>
        <w:t>acknowledged the importance of water resources to all of Georgia’s citizens, including future generations, the connection between economic prosperity and environmental quality, and the need for periodic revision of a plan.  The specific principles include:</w:t>
      </w:r>
    </w:p>
    <w:p w:rsidR="00D02078" w:rsidRPr="00D072C0" w:rsidRDefault="00D02078" w:rsidP="00D02078">
      <w:pPr>
        <w:pStyle w:val="ListParagraph"/>
        <w:numPr>
          <w:ilvl w:val="0"/>
          <w:numId w:val="1"/>
        </w:numPr>
        <w:rPr>
          <w:rFonts w:ascii="Times New Roman" w:hAnsi="Times New Roman" w:cs="Times New Roman"/>
          <w:sz w:val="24"/>
          <w:szCs w:val="24"/>
        </w:rPr>
      </w:pPr>
      <w:r w:rsidRPr="00D072C0">
        <w:rPr>
          <w:rFonts w:ascii="Times New Roman" w:hAnsi="Times New Roman" w:cs="Times New Roman"/>
          <w:sz w:val="24"/>
          <w:szCs w:val="24"/>
        </w:rPr>
        <w:t>Effective water resources management protects public health and the safety and welfare of Georgia´s citizens;</w:t>
      </w:r>
    </w:p>
    <w:p w:rsidR="00D02078" w:rsidRPr="00D072C0" w:rsidRDefault="00D02078" w:rsidP="00D02078">
      <w:pPr>
        <w:pStyle w:val="ListParagraph"/>
        <w:numPr>
          <w:ilvl w:val="0"/>
          <w:numId w:val="1"/>
        </w:numPr>
        <w:rPr>
          <w:rFonts w:ascii="Times New Roman" w:hAnsi="Times New Roman" w:cs="Times New Roman"/>
          <w:sz w:val="24"/>
          <w:szCs w:val="24"/>
        </w:rPr>
      </w:pPr>
      <w:r w:rsidRPr="00D072C0">
        <w:rPr>
          <w:rFonts w:ascii="Times New Roman" w:hAnsi="Times New Roman" w:cs="Times New Roman"/>
          <w:sz w:val="24"/>
          <w:szCs w:val="24"/>
        </w:rPr>
        <w:t>Water resources are to be managed in a sustainable manner so that current and future generations have access to adequate supplies of quality water that support both human needs and natural systems;</w:t>
      </w:r>
    </w:p>
    <w:p w:rsidR="00D02078" w:rsidRPr="00D072C0" w:rsidRDefault="00D02078" w:rsidP="00D02078">
      <w:pPr>
        <w:pStyle w:val="ListParagraph"/>
        <w:numPr>
          <w:ilvl w:val="0"/>
          <w:numId w:val="1"/>
        </w:numPr>
        <w:rPr>
          <w:rFonts w:ascii="Times New Roman" w:hAnsi="Times New Roman" w:cs="Times New Roman"/>
          <w:sz w:val="24"/>
          <w:szCs w:val="24"/>
        </w:rPr>
      </w:pPr>
      <w:r w:rsidRPr="00D072C0">
        <w:rPr>
          <w:rFonts w:ascii="Times New Roman" w:hAnsi="Times New Roman" w:cs="Times New Roman"/>
          <w:sz w:val="24"/>
          <w:szCs w:val="24"/>
        </w:rPr>
        <w:t>All citizens have a stewardship responsibility to conserve and protect the water resources of Georgia;</w:t>
      </w:r>
    </w:p>
    <w:p w:rsidR="00D02078" w:rsidRPr="00D072C0" w:rsidRDefault="00D02078" w:rsidP="00D02078">
      <w:pPr>
        <w:pStyle w:val="ListParagraph"/>
        <w:numPr>
          <w:ilvl w:val="0"/>
          <w:numId w:val="1"/>
        </w:numPr>
        <w:rPr>
          <w:rFonts w:ascii="Times New Roman" w:hAnsi="Times New Roman" w:cs="Times New Roman"/>
          <w:sz w:val="24"/>
          <w:szCs w:val="24"/>
        </w:rPr>
      </w:pPr>
      <w:r w:rsidRPr="00D072C0">
        <w:rPr>
          <w:rFonts w:ascii="Times New Roman" w:hAnsi="Times New Roman" w:cs="Times New Roman"/>
          <w:sz w:val="24"/>
          <w:szCs w:val="24"/>
        </w:rPr>
        <w:t>Water resources management efforts must have a sound scientific foundation and recognize that economic prosperity and environmental quality are interdependent;</w:t>
      </w:r>
    </w:p>
    <w:p w:rsidR="00D02078" w:rsidRPr="00D072C0" w:rsidRDefault="00D02078" w:rsidP="00D02078">
      <w:pPr>
        <w:pStyle w:val="ListParagraph"/>
        <w:numPr>
          <w:ilvl w:val="0"/>
          <w:numId w:val="1"/>
        </w:numPr>
        <w:rPr>
          <w:rFonts w:ascii="Times New Roman" w:hAnsi="Times New Roman" w:cs="Times New Roman"/>
          <w:sz w:val="24"/>
          <w:szCs w:val="24"/>
        </w:rPr>
      </w:pPr>
      <w:r w:rsidRPr="00D072C0">
        <w:rPr>
          <w:rFonts w:ascii="Times New Roman" w:hAnsi="Times New Roman" w:cs="Times New Roman"/>
          <w:sz w:val="24"/>
          <w:szCs w:val="24"/>
        </w:rPr>
        <w:t>Water quality and quantity and surface and ground water are interrelated and require integrated planning as well as reasonable and efficient use;</w:t>
      </w:r>
    </w:p>
    <w:p w:rsidR="00D02078" w:rsidRPr="00D072C0" w:rsidRDefault="00D02078" w:rsidP="00D02078">
      <w:pPr>
        <w:pStyle w:val="ListParagraph"/>
        <w:numPr>
          <w:ilvl w:val="0"/>
          <w:numId w:val="1"/>
        </w:numPr>
        <w:rPr>
          <w:rFonts w:ascii="Times New Roman" w:hAnsi="Times New Roman" w:cs="Times New Roman"/>
          <w:sz w:val="24"/>
          <w:szCs w:val="24"/>
        </w:rPr>
      </w:pPr>
      <w:r w:rsidRPr="00D072C0">
        <w:rPr>
          <w:rFonts w:ascii="Times New Roman" w:hAnsi="Times New Roman" w:cs="Times New Roman"/>
          <w:sz w:val="24"/>
          <w:szCs w:val="24"/>
        </w:rPr>
        <w:t>A comprehensive and accessible data base must be developed to provide sound scientific and economic information upon which effective water resources management decisions can be based;</w:t>
      </w:r>
    </w:p>
    <w:p w:rsidR="00D02078" w:rsidRPr="00D072C0" w:rsidRDefault="00D02078" w:rsidP="00D02078">
      <w:pPr>
        <w:pStyle w:val="ListParagraph"/>
        <w:numPr>
          <w:ilvl w:val="0"/>
          <w:numId w:val="1"/>
        </w:numPr>
        <w:rPr>
          <w:rFonts w:ascii="Times New Roman" w:hAnsi="Times New Roman" w:cs="Times New Roman"/>
          <w:sz w:val="24"/>
          <w:szCs w:val="24"/>
        </w:rPr>
      </w:pPr>
      <w:r w:rsidRPr="00D072C0">
        <w:rPr>
          <w:rFonts w:ascii="Times New Roman" w:hAnsi="Times New Roman" w:cs="Times New Roman"/>
          <w:sz w:val="24"/>
          <w:szCs w:val="24"/>
        </w:rPr>
        <w:t>Water resources management encourages local and regional innovation, implementation, adaptability, and responsibility for watershed and river basin management;</w:t>
      </w:r>
    </w:p>
    <w:p w:rsidR="00D02078" w:rsidRPr="00D072C0" w:rsidRDefault="00D02078" w:rsidP="00D02078">
      <w:pPr>
        <w:pStyle w:val="ListParagraph"/>
        <w:numPr>
          <w:ilvl w:val="0"/>
          <w:numId w:val="1"/>
        </w:numPr>
        <w:rPr>
          <w:rFonts w:ascii="Times New Roman" w:hAnsi="Times New Roman" w:cs="Times New Roman"/>
          <w:sz w:val="24"/>
          <w:szCs w:val="24"/>
        </w:rPr>
      </w:pPr>
      <w:r w:rsidRPr="00D072C0">
        <w:rPr>
          <w:rFonts w:ascii="Times New Roman" w:hAnsi="Times New Roman" w:cs="Times New Roman"/>
          <w:sz w:val="24"/>
          <w:szCs w:val="24"/>
        </w:rPr>
        <w:t xml:space="preserve">Sound water resources management involves meaningful participation, coordination, and cooperation among interested and affected stakeholders and citizens as well as all levels of governmental and other entities managing or utilizing water; and </w:t>
      </w:r>
    </w:p>
    <w:p w:rsidR="00D02078" w:rsidRPr="00D072C0" w:rsidRDefault="00D02078" w:rsidP="00D02078">
      <w:pPr>
        <w:pStyle w:val="ListParagraph"/>
        <w:numPr>
          <w:ilvl w:val="0"/>
          <w:numId w:val="1"/>
        </w:numPr>
        <w:rPr>
          <w:rFonts w:ascii="Times New Roman" w:hAnsi="Times New Roman" w:cs="Times New Roman"/>
          <w:sz w:val="24"/>
          <w:szCs w:val="24"/>
        </w:rPr>
      </w:pPr>
      <w:r w:rsidRPr="00D072C0">
        <w:rPr>
          <w:rFonts w:ascii="Times New Roman" w:hAnsi="Times New Roman" w:cs="Times New Roman"/>
          <w:sz w:val="24"/>
          <w:szCs w:val="24"/>
        </w:rPr>
        <w:t>Periodic revisions of the comprehensive state-wide water management plan may be required to accommodate new scientific and policy insights as well as changing social, economic, cultural, and environmental factors.</w:t>
      </w:r>
    </w:p>
    <w:p w:rsidR="008922E7" w:rsidRPr="00D072C0" w:rsidRDefault="00DF199C" w:rsidP="00DF199C">
      <w:pPr>
        <w:ind w:firstLine="360"/>
        <w:rPr>
          <w:rFonts w:ascii="Times New Roman" w:hAnsi="Times New Roman" w:cs="Times New Roman"/>
          <w:sz w:val="24"/>
          <w:szCs w:val="24"/>
        </w:rPr>
      </w:pPr>
      <w:r w:rsidRPr="00D072C0">
        <w:rPr>
          <w:rFonts w:ascii="Times New Roman" w:hAnsi="Times New Roman" w:cs="Times New Roman"/>
          <w:sz w:val="24"/>
          <w:szCs w:val="24"/>
        </w:rPr>
        <w:t>In January of 2008, the General Assembly adopted the Comprehensive Statewide Water Management Plan (CSWMP)</w:t>
      </w:r>
      <w:r w:rsidR="00D078E6" w:rsidRPr="00D072C0">
        <w:rPr>
          <w:rFonts w:ascii="Times New Roman" w:hAnsi="Times New Roman" w:cs="Times New Roman"/>
          <w:sz w:val="24"/>
          <w:szCs w:val="24"/>
        </w:rPr>
        <w:t xml:space="preserve">.  The plan is, in effect, a plan for more planning.  </w:t>
      </w:r>
      <w:r w:rsidR="008922E7" w:rsidRPr="00D072C0">
        <w:rPr>
          <w:rFonts w:ascii="Times New Roman" w:hAnsi="Times New Roman" w:cs="Times New Roman"/>
          <w:sz w:val="24"/>
          <w:szCs w:val="24"/>
        </w:rPr>
        <w:t>As the Executive Summary of the CSWMP states, “the comprehensive state plan hinges on development of regional water plans. Regional forecasts of future needs for water and wastewater will be completed. Then, regional plans will be developed to identify the management practices to be employed, following state policy and guidance, to ensure that the anticipated demands can be met.</w:t>
      </w:r>
      <w:r w:rsidR="0066609D" w:rsidRPr="00D072C0">
        <w:rPr>
          <w:rFonts w:ascii="Times New Roman" w:hAnsi="Times New Roman" w:cs="Times New Roman"/>
          <w:sz w:val="24"/>
          <w:szCs w:val="24"/>
        </w:rPr>
        <w:t>”  The CS</w:t>
      </w:r>
      <w:r w:rsidR="008922E7" w:rsidRPr="00D072C0">
        <w:rPr>
          <w:rFonts w:ascii="Times New Roman" w:hAnsi="Times New Roman" w:cs="Times New Roman"/>
          <w:sz w:val="24"/>
          <w:szCs w:val="24"/>
        </w:rPr>
        <w:t xml:space="preserve">WMP also </w:t>
      </w:r>
      <w:r w:rsidR="00D078E6" w:rsidRPr="00D072C0">
        <w:rPr>
          <w:rFonts w:ascii="Times New Roman" w:hAnsi="Times New Roman" w:cs="Times New Roman"/>
          <w:sz w:val="24"/>
          <w:szCs w:val="24"/>
        </w:rPr>
        <w:t>provides for resource assessments</w:t>
      </w:r>
      <w:r w:rsidR="008922E7" w:rsidRPr="00D072C0">
        <w:rPr>
          <w:rFonts w:ascii="Times New Roman" w:hAnsi="Times New Roman" w:cs="Times New Roman"/>
          <w:sz w:val="24"/>
          <w:szCs w:val="24"/>
        </w:rPr>
        <w:t xml:space="preserve">.  </w:t>
      </w:r>
    </w:p>
    <w:p w:rsidR="00DF199C" w:rsidRPr="00D072C0" w:rsidRDefault="00410F66" w:rsidP="00DF199C">
      <w:pPr>
        <w:ind w:firstLine="360"/>
        <w:rPr>
          <w:rFonts w:ascii="Times New Roman" w:hAnsi="Times New Roman" w:cs="Times New Roman"/>
          <w:sz w:val="24"/>
          <w:szCs w:val="24"/>
        </w:rPr>
      </w:pPr>
      <w:r w:rsidRPr="00D072C0">
        <w:rPr>
          <w:rFonts w:ascii="Times New Roman" w:hAnsi="Times New Roman" w:cs="Times New Roman"/>
          <w:sz w:val="24"/>
          <w:szCs w:val="24"/>
        </w:rPr>
        <w:t>Figure 3 presents a schematic</w:t>
      </w:r>
      <w:r w:rsidR="00820D3E" w:rsidRPr="00D072C0">
        <w:rPr>
          <w:rFonts w:ascii="Times New Roman" w:hAnsi="Times New Roman" w:cs="Times New Roman"/>
          <w:sz w:val="24"/>
          <w:szCs w:val="24"/>
        </w:rPr>
        <w:t>, developed by EPD,</w:t>
      </w:r>
      <w:r w:rsidRPr="00D072C0">
        <w:rPr>
          <w:rFonts w:ascii="Times New Roman" w:hAnsi="Times New Roman" w:cs="Times New Roman"/>
          <w:sz w:val="24"/>
          <w:szCs w:val="24"/>
        </w:rPr>
        <w:t xml:space="preserve"> of the implementation schedule.  </w:t>
      </w:r>
      <w:r w:rsidR="00D078E6" w:rsidRPr="00D072C0">
        <w:rPr>
          <w:rFonts w:ascii="Times New Roman" w:hAnsi="Times New Roman" w:cs="Times New Roman"/>
          <w:sz w:val="24"/>
          <w:szCs w:val="24"/>
        </w:rPr>
        <w:t xml:space="preserve">Over the past </w:t>
      </w:r>
      <w:r w:rsidRPr="00D072C0">
        <w:rPr>
          <w:rFonts w:ascii="Times New Roman" w:hAnsi="Times New Roman" w:cs="Times New Roman"/>
          <w:sz w:val="24"/>
          <w:szCs w:val="24"/>
        </w:rPr>
        <w:t xml:space="preserve">three </w:t>
      </w:r>
      <w:r w:rsidR="00D078E6" w:rsidRPr="00D072C0">
        <w:rPr>
          <w:rFonts w:ascii="Times New Roman" w:hAnsi="Times New Roman" w:cs="Times New Roman"/>
          <w:sz w:val="24"/>
          <w:szCs w:val="24"/>
        </w:rPr>
        <w:t>years, an extensive effort has been made to</w:t>
      </w:r>
      <w:r w:rsidR="00820D3E" w:rsidRPr="00D072C0">
        <w:rPr>
          <w:rFonts w:ascii="Times New Roman" w:hAnsi="Times New Roman" w:cs="Times New Roman"/>
          <w:sz w:val="24"/>
          <w:szCs w:val="24"/>
        </w:rPr>
        <w:t xml:space="preserve"> realize the schedule</w:t>
      </w:r>
      <w:r w:rsidR="00D078E6" w:rsidRPr="00D072C0">
        <w:rPr>
          <w:rFonts w:ascii="Times New Roman" w:hAnsi="Times New Roman" w:cs="Times New Roman"/>
          <w:sz w:val="24"/>
          <w:szCs w:val="24"/>
        </w:rPr>
        <w:t>.  Decadal forecasts up to the year 2050 were completed for the agriculture, domestic, commercial, industrial, and energy sectors</w:t>
      </w:r>
      <w:r w:rsidR="00085808" w:rsidRPr="00D072C0">
        <w:rPr>
          <w:rFonts w:ascii="Times New Roman" w:hAnsi="Times New Roman" w:cs="Times New Roman"/>
          <w:sz w:val="24"/>
          <w:szCs w:val="24"/>
        </w:rPr>
        <w:t xml:space="preserve"> and, t</w:t>
      </w:r>
      <w:r w:rsidR="00D078E6" w:rsidRPr="00D072C0">
        <w:rPr>
          <w:rFonts w:ascii="Times New Roman" w:hAnsi="Times New Roman" w:cs="Times New Roman"/>
          <w:sz w:val="24"/>
          <w:szCs w:val="24"/>
        </w:rPr>
        <w:t xml:space="preserve">o complement the demand forecasts, assessments of groundwater and surface water availability were made.  In addition, the assimilative capacity of each of Georgia’s fourteen major </w:t>
      </w:r>
      <w:r w:rsidR="008922E7" w:rsidRPr="00D072C0">
        <w:rPr>
          <w:rFonts w:ascii="Times New Roman" w:hAnsi="Times New Roman" w:cs="Times New Roman"/>
          <w:sz w:val="24"/>
          <w:szCs w:val="24"/>
        </w:rPr>
        <w:t xml:space="preserve">river basins has been assessed.  Eleven </w:t>
      </w:r>
      <w:r w:rsidR="00147568">
        <w:rPr>
          <w:rFonts w:ascii="Times New Roman" w:hAnsi="Times New Roman" w:cs="Times New Roman"/>
          <w:sz w:val="24"/>
          <w:szCs w:val="24"/>
        </w:rPr>
        <w:t>r</w:t>
      </w:r>
      <w:r w:rsidR="008922E7" w:rsidRPr="00D072C0">
        <w:rPr>
          <w:rFonts w:ascii="Times New Roman" w:hAnsi="Times New Roman" w:cs="Times New Roman"/>
          <w:sz w:val="24"/>
          <w:szCs w:val="24"/>
        </w:rPr>
        <w:t xml:space="preserve">egional </w:t>
      </w:r>
      <w:r w:rsidR="00147568">
        <w:rPr>
          <w:rFonts w:ascii="Times New Roman" w:hAnsi="Times New Roman" w:cs="Times New Roman"/>
          <w:sz w:val="24"/>
          <w:szCs w:val="24"/>
        </w:rPr>
        <w:t>w</w:t>
      </w:r>
      <w:r w:rsidR="008922E7" w:rsidRPr="00D072C0">
        <w:rPr>
          <w:rFonts w:ascii="Times New Roman" w:hAnsi="Times New Roman" w:cs="Times New Roman"/>
          <w:sz w:val="24"/>
          <w:szCs w:val="24"/>
        </w:rPr>
        <w:t xml:space="preserve">ater </w:t>
      </w:r>
      <w:r w:rsidR="00147568">
        <w:rPr>
          <w:rFonts w:ascii="Times New Roman" w:hAnsi="Times New Roman" w:cs="Times New Roman"/>
          <w:sz w:val="24"/>
          <w:szCs w:val="24"/>
        </w:rPr>
        <w:t>p</w:t>
      </w:r>
      <w:r w:rsidR="00574CF7" w:rsidRPr="00D072C0">
        <w:rPr>
          <w:rFonts w:ascii="Times New Roman" w:hAnsi="Times New Roman" w:cs="Times New Roman"/>
          <w:sz w:val="24"/>
          <w:szCs w:val="24"/>
        </w:rPr>
        <w:t xml:space="preserve">lanning </w:t>
      </w:r>
      <w:r w:rsidR="00147568">
        <w:rPr>
          <w:rFonts w:ascii="Times New Roman" w:hAnsi="Times New Roman" w:cs="Times New Roman"/>
          <w:sz w:val="24"/>
          <w:szCs w:val="24"/>
        </w:rPr>
        <w:t>c</w:t>
      </w:r>
      <w:r w:rsidR="008922E7" w:rsidRPr="00D072C0">
        <w:rPr>
          <w:rFonts w:ascii="Times New Roman" w:hAnsi="Times New Roman" w:cs="Times New Roman"/>
          <w:sz w:val="24"/>
          <w:szCs w:val="24"/>
        </w:rPr>
        <w:t xml:space="preserve">ouncils have also been established and are currently </w:t>
      </w:r>
      <w:r w:rsidR="00A74309" w:rsidRPr="00D072C0">
        <w:rPr>
          <w:rFonts w:ascii="Times New Roman" w:hAnsi="Times New Roman" w:cs="Times New Roman"/>
          <w:sz w:val="24"/>
          <w:szCs w:val="24"/>
        </w:rPr>
        <w:t>identifying water management practices to address projected gaps between forecasted water demand and available water resources.</w:t>
      </w:r>
      <w:r w:rsidR="00892C03" w:rsidRPr="00D072C0">
        <w:rPr>
          <w:rFonts w:ascii="Times New Roman" w:hAnsi="Times New Roman" w:cs="Times New Roman"/>
          <w:sz w:val="24"/>
          <w:szCs w:val="24"/>
        </w:rPr>
        <w:t xml:space="preserve">  </w:t>
      </w:r>
    </w:p>
    <w:p w:rsidR="00A74309" w:rsidRPr="00D072C0" w:rsidRDefault="00A74309" w:rsidP="00A74309">
      <w:pPr>
        <w:rPr>
          <w:rFonts w:ascii="Times New Roman" w:hAnsi="Times New Roman" w:cs="Times New Roman"/>
          <w:b/>
          <w:sz w:val="24"/>
          <w:szCs w:val="24"/>
        </w:rPr>
      </w:pPr>
      <w:r w:rsidRPr="00D072C0">
        <w:rPr>
          <w:rFonts w:ascii="Times New Roman" w:hAnsi="Times New Roman" w:cs="Times New Roman"/>
          <w:b/>
          <w:sz w:val="24"/>
          <w:szCs w:val="24"/>
        </w:rPr>
        <w:t xml:space="preserve">Regional Water </w:t>
      </w:r>
      <w:r w:rsidR="00574CF7" w:rsidRPr="00D072C0">
        <w:rPr>
          <w:rFonts w:ascii="Times New Roman" w:hAnsi="Times New Roman" w:cs="Times New Roman"/>
          <w:b/>
          <w:sz w:val="24"/>
          <w:szCs w:val="24"/>
        </w:rPr>
        <w:t xml:space="preserve">Planning </w:t>
      </w:r>
      <w:r w:rsidRPr="00D072C0">
        <w:rPr>
          <w:rFonts w:ascii="Times New Roman" w:hAnsi="Times New Roman" w:cs="Times New Roman"/>
          <w:b/>
          <w:sz w:val="24"/>
          <w:szCs w:val="24"/>
        </w:rPr>
        <w:t>Councils</w:t>
      </w:r>
    </w:p>
    <w:p w:rsidR="00ED306F" w:rsidRPr="00D072C0" w:rsidRDefault="00574CF7" w:rsidP="00A74309">
      <w:pPr>
        <w:rPr>
          <w:rFonts w:ascii="Times New Roman" w:hAnsi="Times New Roman" w:cs="Times New Roman"/>
          <w:sz w:val="24"/>
          <w:szCs w:val="24"/>
        </w:rPr>
      </w:pPr>
      <w:r w:rsidRPr="00D072C0">
        <w:rPr>
          <w:rFonts w:ascii="Times New Roman" w:hAnsi="Times New Roman" w:cs="Times New Roman"/>
          <w:sz w:val="24"/>
          <w:szCs w:val="24"/>
        </w:rPr>
        <w:t xml:space="preserve">There are fourteen major river basins and several major aquifers in the state of Georgia.  The </w:t>
      </w:r>
      <w:r w:rsidR="00147568">
        <w:rPr>
          <w:rFonts w:ascii="Times New Roman" w:hAnsi="Times New Roman" w:cs="Times New Roman"/>
          <w:sz w:val="24"/>
          <w:szCs w:val="24"/>
        </w:rPr>
        <w:t>r</w:t>
      </w:r>
      <w:r w:rsidRPr="00D072C0">
        <w:rPr>
          <w:rFonts w:ascii="Times New Roman" w:hAnsi="Times New Roman" w:cs="Times New Roman"/>
          <w:sz w:val="24"/>
          <w:szCs w:val="24"/>
        </w:rPr>
        <w:t xml:space="preserve">egional </w:t>
      </w:r>
      <w:r w:rsidR="00147568">
        <w:rPr>
          <w:rFonts w:ascii="Times New Roman" w:hAnsi="Times New Roman" w:cs="Times New Roman"/>
          <w:sz w:val="24"/>
          <w:szCs w:val="24"/>
        </w:rPr>
        <w:t>w</w:t>
      </w:r>
      <w:r w:rsidRPr="00D072C0">
        <w:rPr>
          <w:rFonts w:ascii="Times New Roman" w:hAnsi="Times New Roman" w:cs="Times New Roman"/>
          <w:sz w:val="24"/>
          <w:szCs w:val="24"/>
        </w:rPr>
        <w:t xml:space="preserve">ater </w:t>
      </w:r>
      <w:r w:rsidR="00147568">
        <w:rPr>
          <w:rFonts w:ascii="Times New Roman" w:hAnsi="Times New Roman" w:cs="Times New Roman"/>
          <w:sz w:val="24"/>
          <w:szCs w:val="24"/>
        </w:rPr>
        <w:t>p</w:t>
      </w:r>
      <w:r w:rsidRPr="00D072C0">
        <w:rPr>
          <w:rFonts w:ascii="Times New Roman" w:hAnsi="Times New Roman" w:cs="Times New Roman"/>
          <w:sz w:val="24"/>
          <w:szCs w:val="24"/>
        </w:rPr>
        <w:t xml:space="preserve">lanning </w:t>
      </w:r>
      <w:r w:rsidR="00147568">
        <w:rPr>
          <w:rFonts w:ascii="Times New Roman" w:hAnsi="Times New Roman" w:cs="Times New Roman"/>
          <w:sz w:val="24"/>
          <w:szCs w:val="24"/>
        </w:rPr>
        <w:t>c</w:t>
      </w:r>
      <w:r w:rsidRPr="00D072C0">
        <w:rPr>
          <w:rFonts w:ascii="Times New Roman" w:hAnsi="Times New Roman" w:cs="Times New Roman"/>
          <w:sz w:val="24"/>
          <w:szCs w:val="24"/>
        </w:rPr>
        <w:t xml:space="preserve">ouncils established by the </w:t>
      </w:r>
      <w:r w:rsidR="0066609D" w:rsidRPr="00D072C0">
        <w:rPr>
          <w:rFonts w:ascii="Times New Roman" w:hAnsi="Times New Roman" w:cs="Times New Roman"/>
          <w:sz w:val="24"/>
          <w:szCs w:val="24"/>
        </w:rPr>
        <w:t>CSWMP</w:t>
      </w:r>
      <w:r w:rsidRPr="00D072C0">
        <w:rPr>
          <w:rFonts w:ascii="Times New Roman" w:hAnsi="Times New Roman" w:cs="Times New Roman"/>
          <w:sz w:val="24"/>
          <w:szCs w:val="24"/>
        </w:rPr>
        <w:t xml:space="preserve"> are, ultimately, demarcated by county boundaries, but the counties are congregated into councils based on hydrologic boundaries. </w:t>
      </w:r>
      <w:r w:rsidR="00C86836" w:rsidRPr="00D072C0">
        <w:rPr>
          <w:rFonts w:ascii="Times New Roman" w:hAnsi="Times New Roman" w:cs="Times New Roman"/>
          <w:sz w:val="24"/>
          <w:szCs w:val="24"/>
        </w:rPr>
        <w:t xml:space="preserve">  </w:t>
      </w:r>
    </w:p>
    <w:p w:rsidR="00A74309" w:rsidRPr="00D072C0" w:rsidRDefault="00ED306F" w:rsidP="00ED306F">
      <w:pPr>
        <w:ind w:firstLine="720"/>
        <w:rPr>
          <w:rFonts w:ascii="Times New Roman" w:hAnsi="Times New Roman" w:cs="Times New Roman"/>
          <w:sz w:val="24"/>
          <w:szCs w:val="24"/>
        </w:rPr>
      </w:pPr>
      <w:r w:rsidRPr="00D072C0">
        <w:rPr>
          <w:rFonts w:ascii="Times New Roman" w:hAnsi="Times New Roman" w:cs="Times New Roman"/>
          <w:sz w:val="24"/>
          <w:szCs w:val="24"/>
        </w:rPr>
        <w:t xml:space="preserve">The </w:t>
      </w:r>
      <w:r w:rsidR="00147568">
        <w:rPr>
          <w:rFonts w:ascii="Times New Roman" w:hAnsi="Times New Roman" w:cs="Times New Roman"/>
          <w:sz w:val="24"/>
          <w:szCs w:val="24"/>
        </w:rPr>
        <w:t>c</w:t>
      </w:r>
      <w:r w:rsidRPr="00D072C0">
        <w:rPr>
          <w:rFonts w:ascii="Times New Roman" w:hAnsi="Times New Roman" w:cs="Times New Roman"/>
          <w:sz w:val="24"/>
          <w:szCs w:val="24"/>
        </w:rPr>
        <w:t>ouncils are comprised of no more than 25 appointed members, ideally representing the full spectrum of stakeholders.</w:t>
      </w:r>
      <w:r w:rsidR="00513C23" w:rsidRPr="00D072C0">
        <w:rPr>
          <w:rStyle w:val="FootnoteReference"/>
          <w:rFonts w:ascii="Times New Roman" w:hAnsi="Times New Roman" w:cs="Times New Roman"/>
          <w:sz w:val="24"/>
          <w:szCs w:val="24"/>
        </w:rPr>
        <w:footnoteReference w:id="2"/>
      </w:r>
      <w:r w:rsidR="00513C23" w:rsidRPr="00D072C0">
        <w:rPr>
          <w:rFonts w:ascii="Times New Roman" w:hAnsi="Times New Roman" w:cs="Times New Roman"/>
          <w:sz w:val="24"/>
          <w:szCs w:val="24"/>
        </w:rPr>
        <w:t xml:space="preserve"> </w:t>
      </w:r>
      <w:r w:rsidRPr="00D072C0">
        <w:rPr>
          <w:rFonts w:ascii="Times New Roman" w:hAnsi="Times New Roman" w:cs="Times New Roman"/>
          <w:sz w:val="24"/>
          <w:szCs w:val="24"/>
        </w:rPr>
        <w:t xml:space="preserve"> Nominations were solicited from stakeholder groups and organizations, although the nomination process was open to all.  The nominations were then vetted through the EPD, Department of Agriculture, Department of Community Affairs, and the Department of Economic Development, and subsequently forwarded to the </w:t>
      </w:r>
      <w:r w:rsidR="00147568">
        <w:rPr>
          <w:rFonts w:ascii="Times New Roman" w:hAnsi="Times New Roman" w:cs="Times New Roman"/>
          <w:sz w:val="24"/>
          <w:szCs w:val="24"/>
        </w:rPr>
        <w:t>g</w:t>
      </w:r>
      <w:r w:rsidRPr="00D072C0">
        <w:rPr>
          <w:rFonts w:ascii="Times New Roman" w:hAnsi="Times New Roman" w:cs="Times New Roman"/>
          <w:sz w:val="24"/>
          <w:szCs w:val="24"/>
        </w:rPr>
        <w:t xml:space="preserve">overnor, </w:t>
      </w:r>
      <w:r w:rsidR="00147568">
        <w:rPr>
          <w:rFonts w:ascii="Times New Roman" w:hAnsi="Times New Roman" w:cs="Times New Roman"/>
          <w:sz w:val="24"/>
          <w:szCs w:val="24"/>
        </w:rPr>
        <w:t>l</w:t>
      </w:r>
      <w:r w:rsidRPr="00D072C0">
        <w:rPr>
          <w:rFonts w:ascii="Times New Roman" w:hAnsi="Times New Roman" w:cs="Times New Roman"/>
          <w:sz w:val="24"/>
          <w:szCs w:val="24"/>
        </w:rPr>
        <w:t xml:space="preserve">ieutenant </w:t>
      </w:r>
      <w:r w:rsidR="00147568">
        <w:rPr>
          <w:rFonts w:ascii="Times New Roman" w:hAnsi="Times New Roman" w:cs="Times New Roman"/>
          <w:sz w:val="24"/>
          <w:szCs w:val="24"/>
        </w:rPr>
        <w:t>g</w:t>
      </w:r>
      <w:r w:rsidRPr="00D072C0">
        <w:rPr>
          <w:rFonts w:ascii="Times New Roman" w:hAnsi="Times New Roman" w:cs="Times New Roman"/>
          <w:sz w:val="24"/>
          <w:szCs w:val="24"/>
        </w:rPr>
        <w:t xml:space="preserve">overnor, and the </w:t>
      </w:r>
      <w:r w:rsidR="00147568">
        <w:rPr>
          <w:rFonts w:ascii="Times New Roman" w:hAnsi="Times New Roman" w:cs="Times New Roman"/>
          <w:sz w:val="24"/>
          <w:szCs w:val="24"/>
        </w:rPr>
        <w:t>s</w:t>
      </w:r>
      <w:r w:rsidRPr="00D072C0">
        <w:rPr>
          <w:rFonts w:ascii="Times New Roman" w:hAnsi="Times New Roman" w:cs="Times New Roman"/>
          <w:sz w:val="24"/>
          <w:szCs w:val="24"/>
        </w:rPr>
        <w:t xml:space="preserve">peaker of the </w:t>
      </w:r>
      <w:r w:rsidR="00147568">
        <w:rPr>
          <w:rFonts w:ascii="Times New Roman" w:hAnsi="Times New Roman" w:cs="Times New Roman"/>
          <w:sz w:val="24"/>
          <w:szCs w:val="24"/>
        </w:rPr>
        <w:t>h</w:t>
      </w:r>
      <w:r w:rsidRPr="00D072C0">
        <w:rPr>
          <w:rFonts w:ascii="Times New Roman" w:hAnsi="Times New Roman" w:cs="Times New Roman"/>
          <w:sz w:val="24"/>
          <w:szCs w:val="24"/>
        </w:rPr>
        <w:t xml:space="preserve">ouse.  The </w:t>
      </w:r>
      <w:r w:rsidR="00147568">
        <w:rPr>
          <w:rFonts w:ascii="Times New Roman" w:hAnsi="Times New Roman" w:cs="Times New Roman"/>
          <w:sz w:val="24"/>
          <w:szCs w:val="24"/>
        </w:rPr>
        <w:t>g</w:t>
      </w:r>
      <w:r w:rsidRPr="00D072C0">
        <w:rPr>
          <w:rFonts w:ascii="Times New Roman" w:hAnsi="Times New Roman" w:cs="Times New Roman"/>
          <w:sz w:val="24"/>
          <w:szCs w:val="24"/>
        </w:rPr>
        <w:t xml:space="preserve">overnor appointed 13 members to each council, while the </w:t>
      </w:r>
      <w:r w:rsidR="00147568">
        <w:rPr>
          <w:rFonts w:ascii="Times New Roman" w:hAnsi="Times New Roman" w:cs="Times New Roman"/>
          <w:sz w:val="24"/>
          <w:szCs w:val="24"/>
        </w:rPr>
        <w:t>l</w:t>
      </w:r>
      <w:r w:rsidRPr="00D072C0">
        <w:rPr>
          <w:rFonts w:ascii="Times New Roman" w:hAnsi="Times New Roman" w:cs="Times New Roman"/>
          <w:sz w:val="24"/>
          <w:szCs w:val="24"/>
        </w:rPr>
        <w:t xml:space="preserve">ieutenant </w:t>
      </w:r>
      <w:r w:rsidR="00147568">
        <w:rPr>
          <w:rFonts w:ascii="Times New Roman" w:hAnsi="Times New Roman" w:cs="Times New Roman"/>
          <w:sz w:val="24"/>
          <w:szCs w:val="24"/>
        </w:rPr>
        <w:t>g</w:t>
      </w:r>
      <w:r w:rsidRPr="00D072C0">
        <w:rPr>
          <w:rFonts w:ascii="Times New Roman" w:hAnsi="Times New Roman" w:cs="Times New Roman"/>
          <w:sz w:val="24"/>
          <w:szCs w:val="24"/>
        </w:rPr>
        <w:t xml:space="preserve">overnor and </w:t>
      </w:r>
      <w:r w:rsidR="00147568">
        <w:rPr>
          <w:rFonts w:ascii="Times New Roman" w:hAnsi="Times New Roman" w:cs="Times New Roman"/>
          <w:sz w:val="24"/>
          <w:szCs w:val="24"/>
        </w:rPr>
        <w:t>s</w:t>
      </w:r>
      <w:r w:rsidRPr="00D072C0">
        <w:rPr>
          <w:rFonts w:ascii="Times New Roman" w:hAnsi="Times New Roman" w:cs="Times New Roman"/>
          <w:sz w:val="24"/>
          <w:szCs w:val="24"/>
        </w:rPr>
        <w:t>peaker each appointed 6 members.</w:t>
      </w:r>
    </w:p>
    <w:p w:rsidR="00F40DCD" w:rsidRPr="00D072C0" w:rsidRDefault="00F40DCD" w:rsidP="00ED306F">
      <w:pPr>
        <w:ind w:firstLine="720"/>
        <w:rPr>
          <w:rFonts w:ascii="Times New Roman" w:hAnsi="Times New Roman" w:cs="Times New Roman"/>
          <w:sz w:val="24"/>
          <w:szCs w:val="24"/>
        </w:rPr>
      </w:pPr>
      <w:r w:rsidRPr="00D072C0">
        <w:rPr>
          <w:rFonts w:ascii="Times New Roman" w:hAnsi="Times New Roman" w:cs="Times New Roman"/>
          <w:sz w:val="24"/>
          <w:szCs w:val="24"/>
        </w:rPr>
        <w:t>Council member</w:t>
      </w:r>
      <w:r w:rsidR="000B5058">
        <w:rPr>
          <w:rFonts w:ascii="Times New Roman" w:hAnsi="Times New Roman" w:cs="Times New Roman"/>
          <w:sz w:val="24"/>
          <w:szCs w:val="24"/>
        </w:rPr>
        <w:t>s</w:t>
      </w:r>
      <w:r w:rsidRPr="00D072C0">
        <w:rPr>
          <w:rFonts w:ascii="Times New Roman" w:hAnsi="Times New Roman" w:cs="Times New Roman"/>
          <w:sz w:val="24"/>
          <w:szCs w:val="24"/>
        </w:rPr>
        <w:t xml:space="preserve"> are required to reside in the region.  Additionally, of the 13 members appointed by the </w:t>
      </w:r>
      <w:r w:rsidR="00147568">
        <w:rPr>
          <w:rFonts w:ascii="Times New Roman" w:hAnsi="Times New Roman" w:cs="Times New Roman"/>
          <w:sz w:val="24"/>
          <w:szCs w:val="24"/>
        </w:rPr>
        <w:t>g</w:t>
      </w:r>
      <w:r w:rsidRPr="00D072C0">
        <w:rPr>
          <w:rFonts w:ascii="Times New Roman" w:hAnsi="Times New Roman" w:cs="Times New Roman"/>
          <w:sz w:val="24"/>
          <w:szCs w:val="24"/>
        </w:rPr>
        <w:t xml:space="preserve">overnor, 2 are required to be mayors or city council members within the region, and 2 are required to be county-level elected officials.  </w:t>
      </w:r>
      <w:r w:rsidR="00590DEF" w:rsidRPr="00D072C0">
        <w:rPr>
          <w:rFonts w:ascii="Times New Roman" w:hAnsi="Times New Roman" w:cs="Times New Roman"/>
          <w:sz w:val="24"/>
          <w:szCs w:val="24"/>
        </w:rPr>
        <w:t xml:space="preserve">Similarly, the </w:t>
      </w:r>
      <w:r w:rsidR="00147568">
        <w:rPr>
          <w:rFonts w:ascii="Times New Roman" w:hAnsi="Times New Roman" w:cs="Times New Roman"/>
          <w:sz w:val="24"/>
          <w:szCs w:val="24"/>
        </w:rPr>
        <w:t>l</w:t>
      </w:r>
      <w:r w:rsidR="00590DEF" w:rsidRPr="00D072C0">
        <w:rPr>
          <w:rFonts w:ascii="Times New Roman" w:hAnsi="Times New Roman" w:cs="Times New Roman"/>
          <w:sz w:val="24"/>
          <w:szCs w:val="24"/>
        </w:rPr>
        <w:t xml:space="preserve">ieutenant </w:t>
      </w:r>
      <w:r w:rsidR="00147568">
        <w:rPr>
          <w:rFonts w:ascii="Times New Roman" w:hAnsi="Times New Roman" w:cs="Times New Roman"/>
          <w:sz w:val="24"/>
          <w:szCs w:val="24"/>
        </w:rPr>
        <w:t>g</w:t>
      </w:r>
      <w:r w:rsidR="00590DEF" w:rsidRPr="00D072C0">
        <w:rPr>
          <w:rFonts w:ascii="Times New Roman" w:hAnsi="Times New Roman" w:cs="Times New Roman"/>
          <w:sz w:val="24"/>
          <w:szCs w:val="24"/>
        </w:rPr>
        <w:t xml:space="preserve">overnor and </w:t>
      </w:r>
      <w:r w:rsidR="00147568">
        <w:rPr>
          <w:rFonts w:ascii="Times New Roman" w:hAnsi="Times New Roman" w:cs="Times New Roman"/>
          <w:sz w:val="24"/>
          <w:szCs w:val="24"/>
        </w:rPr>
        <w:t>s</w:t>
      </w:r>
      <w:r w:rsidR="00590DEF" w:rsidRPr="00D072C0">
        <w:rPr>
          <w:rFonts w:ascii="Times New Roman" w:hAnsi="Times New Roman" w:cs="Times New Roman"/>
          <w:sz w:val="24"/>
          <w:szCs w:val="24"/>
        </w:rPr>
        <w:t xml:space="preserve">peaker must each appoint at least one mayor or city council member and one county-level elected official.   </w:t>
      </w:r>
    </w:p>
    <w:p w:rsidR="00EA6A19" w:rsidRPr="00D072C0" w:rsidRDefault="00E14313" w:rsidP="00ED306F">
      <w:pPr>
        <w:ind w:firstLine="720"/>
        <w:rPr>
          <w:rFonts w:ascii="Times New Roman" w:hAnsi="Times New Roman" w:cs="Times New Roman"/>
          <w:sz w:val="24"/>
          <w:szCs w:val="24"/>
        </w:rPr>
      </w:pPr>
      <w:r w:rsidRPr="00D072C0">
        <w:rPr>
          <w:rFonts w:ascii="Times New Roman" w:hAnsi="Times New Roman" w:cs="Times New Roman"/>
          <w:sz w:val="24"/>
          <w:szCs w:val="24"/>
        </w:rPr>
        <w:t xml:space="preserve">The EPD provides guidance and training to the council members, but each council is given considerable autonomy with respect to establishment of operating procedures.  This includes procedures for council decision-making.  Each council is also granted the authority to establish provisions for advisory boards and public participation.  The only stipulation is that </w:t>
      </w:r>
      <w:r w:rsidR="000B5058">
        <w:rPr>
          <w:rFonts w:ascii="Times New Roman" w:hAnsi="Times New Roman" w:cs="Times New Roman"/>
          <w:sz w:val="24"/>
          <w:szCs w:val="24"/>
        </w:rPr>
        <w:t xml:space="preserve">the </w:t>
      </w:r>
      <w:r w:rsidRPr="00D072C0">
        <w:rPr>
          <w:rFonts w:ascii="Times New Roman" w:hAnsi="Times New Roman" w:cs="Times New Roman"/>
          <w:sz w:val="24"/>
          <w:szCs w:val="24"/>
        </w:rPr>
        <w:t xml:space="preserve">public have “meaningful” opportunities for participation.  Ultimately, however, </w:t>
      </w:r>
      <w:r w:rsidR="00147568">
        <w:rPr>
          <w:rFonts w:ascii="Times New Roman" w:hAnsi="Times New Roman" w:cs="Times New Roman"/>
          <w:sz w:val="24"/>
          <w:szCs w:val="24"/>
        </w:rPr>
        <w:t>c</w:t>
      </w:r>
      <w:r w:rsidRPr="00D072C0">
        <w:rPr>
          <w:rFonts w:ascii="Times New Roman" w:hAnsi="Times New Roman" w:cs="Times New Roman"/>
          <w:sz w:val="24"/>
          <w:szCs w:val="24"/>
        </w:rPr>
        <w:t xml:space="preserve">ouncil procedures are formally adopted through a memorandum of agreement </w:t>
      </w:r>
      <w:r w:rsidR="000B5058">
        <w:rPr>
          <w:rFonts w:ascii="Times New Roman" w:hAnsi="Times New Roman" w:cs="Times New Roman"/>
          <w:sz w:val="24"/>
          <w:szCs w:val="24"/>
        </w:rPr>
        <w:t>(</w:t>
      </w:r>
      <w:r w:rsidR="00EA6A19" w:rsidRPr="00D072C0">
        <w:rPr>
          <w:rFonts w:ascii="Times New Roman" w:hAnsi="Times New Roman" w:cs="Times New Roman"/>
          <w:sz w:val="24"/>
          <w:szCs w:val="24"/>
        </w:rPr>
        <w:t>MOA</w:t>
      </w:r>
      <w:r w:rsidR="000B5058">
        <w:rPr>
          <w:rFonts w:ascii="Times New Roman" w:hAnsi="Times New Roman" w:cs="Times New Roman"/>
          <w:sz w:val="24"/>
          <w:szCs w:val="24"/>
        </w:rPr>
        <w:t>)</w:t>
      </w:r>
      <w:r w:rsidR="00EA6A19" w:rsidRPr="00D072C0">
        <w:rPr>
          <w:rFonts w:ascii="Times New Roman" w:hAnsi="Times New Roman" w:cs="Times New Roman"/>
          <w:sz w:val="24"/>
          <w:szCs w:val="24"/>
        </w:rPr>
        <w:t xml:space="preserve"> </w:t>
      </w:r>
      <w:r w:rsidRPr="00D072C0">
        <w:rPr>
          <w:rFonts w:ascii="Times New Roman" w:hAnsi="Times New Roman" w:cs="Times New Roman"/>
          <w:sz w:val="24"/>
          <w:szCs w:val="24"/>
        </w:rPr>
        <w:t xml:space="preserve">with EPD and </w:t>
      </w:r>
      <w:r w:rsidR="00EA6A19" w:rsidRPr="00D072C0">
        <w:rPr>
          <w:rFonts w:ascii="Times New Roman" w:hAnsi="Times New Roman" w:cs="Times New Roman"/>
          <w:sz w:val="24"/>
          <w:szCs w:val="24"/>
        </w:rPr>
        <w:t xml:space="preserve">the Department of Community Affairs.  These memoranda are in effect for 3 years.   </w:t>
      </w:r>
    </w:p>
    <w:p w:rsidR="00A1611D" w:rsidRPr="00D072C0" w:rsidRDefault="00A1611D" w:rsidP="00A1611D">
      <w:pPr>
        <w:rPr>
          <w:rFonts w:ascii="Times New Roman" w:hAnsi="Times New Roman" w:cs="Times New Roman"/>
          <w:b/>
          <w:sz w:val="24"/>
          <w:szCs w:val="24"/>
        </w:rPr>
      </w:pPr>
      <w:r w:rsidRPr="00D072C0">
        <w:rPr>
          <w:rFonts w:ascii="Times New Roman" w:hAnsi="Times New Roman" w:cs="Times New Roman"/>
          <w:b/>
          <w:sz w:val="24"/>
          <w:szCs w:val="24"/>
        </w:rPr>
        <w:t>Regional Water Plans</w:t>
      </w:r>
    </w:p>
    <w:p w:rsidR="0066609D" w:rsidRPr="00D072C0" w:rsidRDefault="000C2D16" w:rsidP="00BE7542">
      <w:pPr>
        <w:rPr>
          <w:rFonts w:ascii="Times New Roman" w:hAnsi="Times New Roman" w:cs="Times New Roman"/>
          <w:sz w:val="24"/>
          <w:szCs w:val="24"/>
        </w:rPr>
      </w:pPr>
      <w:r w:rsidRPr="00D072C0">
        <w:rPr>
          <w:rFonts w:ascii="Times New Roman" w:hAnsi="Times New Roman" w:cs="Times New Roman"/>
          <w:sz w:val="24"/>
          <w:szCs w:val="24"/>
        </w:rPr>
        <w:t xml:space="preserve">Each </w:t>
      </w:r>
      <w:r w:rsidR="00147568">
        <w:rPr>
          <w:rFonts w:ascii="Times New Roman" w:hAnsi="Times New Roman" w:cs="Times New Roman"/>
          <w:sz w:val="24"/>
          <w:szCs w:val="24"/>
        </w:rPr>
        <w:t>r</w:t>
      </w:r>
      <w:r w:rsidRPr="00D072C0">
        <w:rPr>
          <w:rFonts w:ascii="Times New Roman" w:hAnsi="Times New Roman" w:cs="Times New Roman"/>
          <w:sz w:val="24"/>
          <w:szCs w:val="24"/>
        </w:rPr>
        <w:t xml:space="preserve">egional </w:t>
      </w:r>
      <w:r w:rsidR="00147568">
        <w:rPr>
          <w:rFonts w:ascii="Times New Roman" w:hAnsi="Times New Roman" w:cs="Times New Roman"/>
          <w:sz w:val="24"/>
          <w:szCs w:val="24"/>
        </w:rPr>
        <w:t>w</w:t>
      </w:r>
      <w:r w:rsidRPr="00D072C0">
        <w:rPr>
          <w:rFonts w:ascii="Times New Roman" w:hAnsi="Times New Roman" w:cs="Times New Roman"/>
          <w:sz w:val="24"/>
          <w:szCs w:val="24"/>
        </w:rPr>
        <w:t xml:space="preserve">ater </w:t>
      </w:r>
      <w:r w:rsidR="00147568">
        <w:rPr>
          <w:rFonts w:ascii="Times New Roman" w:hAnsi="Times New Roman" w:cs="Times New Roman"/>
          <w:sz w:val="24"/>
          <w:szCs w:val="24"/>
        </w:rPr>
        <w:t>c</w:t>
      </w:r>
      <w:r w:rsidRPr="00D072C0">
        <w:rPr>
          <w:rFonts w:ascii="Times New Roman" w:hAnsi="Times New Roman" w:cs="Times New Roman"/>
          <w:sz w:val="24"/>
          <w:szCs w:val="24"/>
        </w:rPr>
        <w:t xml:space="preserve">ouncil is responsible for </w:t>
      </w:r>
      <w:r w:rsidR="0066609D" w:rsidRPr="00D072C0">
        <w:rPr>
          <w:rFonts w:ascii="Times New Roman" w:hAnsi="Times New Roman" w:cs="Times New Roman"/>
          <w:sz w:val="24"/>
          <w:szCs w:val="24"/>
        </w:rPr>
        <w:t xml:space="preserve">developing a plan that addresses both future water development and conservation actions.  The plans are to be broken down by water source, and identify management practices that will enable forecasted needs to be met.  These needs include water supply, wastewater assimilative capacity, and </w:t>
      </w:r>
      <w:proofErr w:type="spellStart"/>
      <w:r w:rsidR="0066609D" w:rsidRPr="00D072C0">
        <w:rPr>
          <w:rFonts w:ascii="Times New Roman" w:hAnsi="Times New Roman" w:cs="Times New Roman"/>
          <w:sz w:val="24"/>
          <w:szCs w:val="24"/>
        </w:rPr>
        <w:t>stormwater</w:t>
      </w:r>
      <w:proofErr w:type="spellEnd"/>
      <w:r w:rsidR="0066609D" w:rsidRPr="00D072C0">
        <w:rPr>
          <w:rFonts w:ascii="Times New Roman" w:hAnsi="Times New Roman" w:cs="Times New Roman"/>
          <w:sz w:val="24"/>
          <w:szCs w:val="24"/>
        </w:rPr>
        <w:t xml:space="preserve"> management.  Additionally, the plan must include “proposals for addressing data and information needs” (CSWMP, p. 38).  </w:t>
      </w:r>
    </w:p>
    <w:p w:rsidR="000D567B" w:rsidRPr="00D072C0" w:rsidRDefault="00246255" w:rsidP="00ED306F">
      <w:pPr>
        <w:ind w:firstLine="720"/>
        <w:rPr>
          <w:rFonts w:ascii="Times New Roman" w:hAnsi="Times New Roman" w:cs="Times New Roman"/>
          <w:sz w:val="24"/>
          <w:szCs w:val="24"/>
        </w:rPr>
      </w:pPr>
      <w:r w:rsidRPr="00D072C0">
        <w:rPr>
          <w:rFonts w:ascii="Times New Roman" w:hAnsi="Times New Roman" w:cs="Times New Roman"/>
          <w:sz w:val="24"/>
          <w:szCs w:val="24"/>
        </w:rPr>
        <w:t xml:space="preserve">Upon completion, no later than the prescribed date, the regional plans are submitted to EPD for review and approval.  EPD retains the authority to adopt a plan as drafted, </w:t>
      </w:r>
      <w:proofErr w:type="gramStart"/>
      <w:r w:rsidRPr="00D072C0">
        <w:rPr>
          <w:rFonts w:ascii="Times New Roman" w:hAnsi="Times New Roman" w:cs="Times New Roman"/>
          <w:sz w:val="24"/>
          <w:szCs w:val="24"/>
        </w:rPr>
        <w:t>advise</w:t>
      </w:r>
      <w:proofErr w:type="gramEnd"/>
      <w:r w:rsidRPr="00D072C0">
        <w:rPr>
          <w:rFonts w:ascii="Times New Roman" w:hAnsi="Times New Roman" w:cs="Times New Roman"/>
          <w:sz w:val="24"/>
          <w:szCs w:val="24"/>
        </w:rPr>
        <w:t xml:space="preserve"> a council to amend a plan, or adopt a plan with conditions.  If a council fails to meet the submission deadline, EPD will take responsibility </w:t>
      </w:r>
      <w:r w:rsidR="00F93933" w:rsidRPr="00D072C0">
        <w:rPr>
          <w:rFonts w:ascii="Times New Roman" w:hAnsi="Times New Roman" w:cs="Times New Roman"/>
          <w:sz w:val="24"/>
          <w:szCs w:val="24"/>
        </w:rPr>
        <w:t>f</w:t>
      </w:r>
      <w:r w:rsidR="00147568">
        <w:rPr>
          <w:rFonts w:ascii="Times New Roman" w:hAnsi="Times New Roman" w:cs="Times New Roman"/>
          <w:sz w:val="24"/>
          <w:szCs w:val="24"/>
        </w:rPr>
        <w:t>or</w:t>
      </w:r>
      <w:r w:rsidR="00F93933" w:rsidRPr="00D072C0">
        <w:rPr>
          <w:rFonts w:ascii="Times New Roman" w:hAnsi="Times New Roman" w:cs="Times New Roman"/>
          <w:sz w:val="24"/>
          <w:szCs w:val="24"/>
        </w:rPr>
        <w:t xml:space="preserve"> </w:t>
      </w:r>
      <w:r w:rsidRPr="00D072C0">
        <w:rPr>
          <w:rFonts w:ascii="Times New Roman" w:hAnsi="Times New Roman" w:cs="Times New Roman"/>
          <w:sz w:val="24"/>
          <w:szCs w:val="24"/>
        </w:rPr>
        <w:t>drafting a plan for that region.</w:t>
      </w:r>
      <w:r w:rsidR="000D567B" w:rsidRPr="00D072C0">
        <w:rPr>
          <w:rFonts w:ascii="Times New Roman" w:hAnsi="Times New Roman" w:cs="Times New Roman"/>
          <w:sz w:val="24"/>
          <w:szCs w:val="24"/>
        </w:rPr>
        <w:t xml:space="preserve">  Adopted plans are subject to review every 5 years by both the </w:t>
      </w:r>
      <w:r w:rsidR="00147568">
        <w:rPr>
          <w:rFonts w:ascii="Times New Roman" w:hAnsi="Times New Roman" w:cs="Times New Roman"/>
          <w:sz w:val="24"/>
          <w:szCs w:val="24"/>
        </w:rPr>
        <w:t>regional w</w:t>
      </w:r>
      <w:r w:rsidR="000D567B" w:rsidRPr="00D072C0">
        <w:rPr>
          <w:rFonts w:ascii="Times New Roman" w:hAnsi="Times New Roman" w:cs="Times New Roman"/>
          <w:sz w:val="24"/>
          <w:szCs w:val="24"/>
        </w:rPr>
        <w:t xml:space="preserve">ater </w:t>
      </w:r>
      <w:r w:rsidR="00147568">
        <w:rPr>
          <w:rFonts w:ascii="Times New Roman" w:hAnsi="Times New Roman" w:cs="Times New Roman"/>
          <w:sz w:val="24"/>
          <w:szCs w:val="24"/>
        </w:rPr>
        <w:t>p</w:t>
      </w:r>
      <w:r w:rsidR="000D567B" w:rsidRPr="00D072C0">
        <w:rPr>
          <w:rFonts w:ascii="Times New Roman" w:hAnsi="Times New Roman" w:cs="Times New Roman"/>
          <w:sz w:val="24"/>
          <w:szCs w:val="24"/>
        </w:rPr>
        <w:t xml:space="preserve">lanning </w:t>
      </w:r>
      <w:r w:rsidR="00147568">
        <w:rPr>
          <w:rFonts w:ascii="Times New Roman" w:hAnsi="Times New Roman" w:cs="Times New Roman"/>
          <w:sz w:val="24"/>
          <w:szCs w:val="24"/>
        </w:rPr>
        <w:t>c</w:t>
      </w:r>
      <w:r w:rsidR="000D567B" w:rsidRPr="00D072C0">
        <w:rPr>
          <w:rFonts w:ascii="Times New Roman" w:hAnsi="Times New Roman" w:cs="Times New Roman"/>
          <w:sz w:val="24"/>
          <w:szCs w:val="24"/>
        </w:rPr>
        <w:t>ouncil and EPD.</w:t>
      </w:r>
    </w:p>
    <w:p w:rsidR="00BB3515" w:rsidRPr="00D072C0" w:rsidRDefault="00BB3515" w:rsidP="00ED306F">
      <w:pPr>
        <w:ind w:firstLine="720"/>
        <w:rPr>
          <w:rFonts w:ascii="Times New Roman" w:hAnsi="Times New Roman" w:cs="Times New Roman"/>
          <w:sz w:val="24"/>
          <w:szCs w:val="24"/>
        </w:rPr>
      </w:pPr>
      <w:r w:rsidRPr="00D072C0">
        <w:rPr>
          <w:rFonts w:ascii="Times New Roman" w:hAnsi="Times New Roman" w:cs="Times New Roman"/>
          <w:sz w:val="24"/>
          <w:szCs w:val="24"/>
        </w:rPr>
        <w:t>The regional plans follow a seven-section template developed by EPD.  The first section covers some boiler-plate introductory information on the significance of water resources to the state, statewide priorities, and the planning process.  It also contains a subsection drafted by the regional water planning council articulating regional vision and goals related to water resource management.</w:t>
      </w:r>
      <w:r w:rsidR="00A1611D" w:rsidRPr="00D072C0">
        <w:rPr>
          <w:rFonts w:ascii="Times New Roman" w:hAnsi="Times New Roman" w:cs="Times New Roman"/>
          <w:sz w:val="24"/>
          <w:szCs w:val="24"/>
        </w:rPr>
        <w:t xml:space="preserve">  The second section describes key characteristics of the region, including the local policy context.  Section three addresses resource availability</w:t>
      </w:r>
      <w:r w:rsidR="00F54D1B" w:rsidRPr="00D072C0">
        <w:rPr>
          <w:rFonts w:ascii="Times New Roman" w:hAnsi="Times New Roman" w:cs="Times New Roman"/>
          <w:sz w:val="24"/>
          <w:szCs w:val="24"/>
        </w:rPr>
        <w:t xml:space="preserve"> and current uses.  The assessments are broken down by groundwater availability, surface water availability, and surface water quality.  Ecosystem conditions and in-stream uses are also assessed.  The fourth section presents forecasts of water demand, disaggregated by sector (municipal, energy, agriculture, and industry) as well as water source.  This information is combined with the resource assessments to </w:t>
      </w:r>
      <w:r w:rsidR="00C34038" w:rsidRPr="00D072C0">
        <w:rPr>
          <w:rFonts w:ascii="Times New Roman" w:hAnsi="Times New Roman" w:cs="Times New Roman"/>
          <w:sz w:val="24"/>
          <w:szCs w:val="24"/>
        </w:rPr>
        <w:t xml:space="preserve">determine </w:t>
      </w:r>
      <w:r w:rsidR="00F54D1B" w:rsidRPr="00D072C0">
        <w:rPr>
          <w:rFonts w:ascii="Times New Roman" w:hAnsi="Times New Roman" w:cs="Times New Roman"/>
          <w:sz w:val="24"/>
          <w:szCs w:val="24"/>
        </w:rPr>
        <w:t xml:space="preserve">gaps between projected water availability and water demand.  The sixth section identifies water management practices for </w:t>
      </w:r>
      <w:r w:rsidR="00C34038" w:rsidRPr="00D072C0">
        <w:rPr>
          <w:rFonts w:ascii="Times New Roman" w:hAnsi="Times New Roman" w:cs="Times New Roman"/>
          <w:sz w:val="24"/>
          <w:szCs w:val="24"/>
        </w:rPr>
        <w:t>alleviating these gaps to achieve</w:t>
      </w:r>
      <w:r w:rsidR="00F54D1B" w:rsidRPr="00D072C0">
        <w:rPr>
          <w:rFonts w:ascii="Times New Roman" w:hAnsi="Times New Roman" w:cs="Times New Roman"/>
          <w:sz w:val="24"/>
          <w:szCs w:val="24"/>
        </w:rPr>
        <w:t xml:space="preserve"> regional goals</w:t>
      </w:r>
      <w:r w:rsidR="00C34038" w:rsidRPr="00D072C0">
        <w:rPr>
          <w:rFonts w:ascii="Times New Roman" w:hAnsi="Times New Roman" w:cs="Times New Roman"/>
          <w:sz w:val="24"/>
          <w:szCs w:val="24"/>
        </w:rPr>
        <w:t xml:space="preserve">.  The final section lays out a schedule for implementing the management practices and identifies those responsible for each practice, be it a state agency, private individuals, </w:t>
      </w:r>
      <w:r w:rsidR="008B4494" w:rsidRPr="00D072C0">
        <w:rPr>
          <w:rFonts w:ascii="Times New Roman" w:hAnsi="Times New Roman" w:cs="Times New Roman"/>
          <w:sz w:val="24"/>
          <w:szCs w:val="24"/>
        </w:rPr>
        <w:t xml:space="preserve">private businesses, </w:t>
      </w:r>
      <w:r w:rsidR="00C34038" w:rsidRPr="00D072C0">
        <w:rPr>
          <w:rFonts w:ascii="Times New Roman" w:hAnsi="Times New Roman" w:cs="Times New Roman"/>
          <w:sz w:val="24"/>
          <w:szCs w:val="24"/>
        </w:rPr>
        <w:t>or some other entity.</w:t>
      </w:r>
    </w:p>
    <w:p w:rsidR="00EF076A" w:rsidRPr="00D072C0" w:rsidRDefault="00892C03" w:rsidP="00ED306F">
      <w:pPr>
        <w:ind w:firstLine="720"/>
        <w:rPr>
          <w:rFonts w:ascii="Times New Roman" w:hAnsi="Times New Roman" w:cs="Times New Roman"/>
          <w:sz w:val="24"/>
          <w:szCs w:val="24"/>
        </w:rPr>
      </w:pPr>
      <w:r w:rsidRPr="00D072C0">
        <w:rPr>
          <w:rFonts w:ascii="Times New Roman" w:hAnsi="Times New Roman" w:cs="Times New Roman"/>
          <w:sz w:val="24"/>
          <w:szCs w:val="24"/>
        </w:rPr>
        <w:t xml:space="preserve">As of the writing of this paper, significant progress has been made toward completion of the regional water management plans.  The resource assessments and forecasts for each sector have been completed.  </w:t>
      </w:r>
      <w:r w:rsidR="00102872" w:rsidRPr="00D072C0">
        <w:rPr>
          <w:rFonts w:ascii="Times New Roman" w:hAnsi="Times New Roman" w:cs="Times New Roman"/>
          <w:sz w:val="24"/>
          <w:szCs w:val="24"/>
        </w:rPr>
        <w:t xml:space="preserve">The </w:t>
      </w:r>
      <w:r w:rsidR="00147568">
        <w:rPr>
          <w:rFonts w:ascii="Times New Roman" w:hAnsi="Times New Roman" w:cs="Times New Roman"/>
          <w:sz w:val="24"/>
          <w:szCs w:val="24"/>
        </w:rPr>
        <w:t>r</w:t>
      </w:r>
      <w:r w:rsidR="00102872" w:rsidRPr="00D072C0">
        <w:rPr>
          <w:rFonts w:ascii="Times New Roman" w:hAnsi="Times New Roman" w:cs="Times New Roman"/>
          <w:sz w:val="24"/>
          <w:szCs w:val="24"/>
        </w:rPr>
        <w:t xml:space="preserve">egional </w:t>
      </w:r>
      <w:r w:rsidR="00147568">
        <w:rPr>
          <w:rFonts w:ascii="Times New Roman" w:hAnsi="Times New Roman" w:cs="Times New Roman"/>
          <w:sz w:val="24"/>
          <w:szCs w:val="24"/>
        </w:rPr>
        <w:t>w</w:t>
      </w:r>
      <w:r w:rsidR="00102872" w:rsidRPr="00D072C0">
        <w:rPr>
          <w:rFonts w:ascii="Times New Roman" w:hAnsi="Times New Roman" w:cs="Times New Roman"/>
          <w:sz w:val="24"/>
          <w:szCs w:val="24"/>
        </w:rPr>
        <w:t xml:space="preserve">ater </w:t>
      </w:r>
      <w:r w:rsidR="00147568">
        <w:rPr>
          <w:rFonts w:ascii="Times New Roman" w:hAnsi="Times New Roman" w:cs="Times New Roman"/>
          <w:sz w:val="24"/>
          <w:szCs w:val="24"/>
        </w:rPr>
        <w:t>p</w:t>
      </w:r>
      <w:r w:rsidR="00102872" w:rsidRPr="00D072C0">
        <w:rPr>
          <w:rFonts w:ascii="Times New Roman" w:hAnsi="Times New Roman" w:cs="Times New Roman"/>
          <w:sz w:val="24"/>
          <w:szCs w:val="24"/>
        </w:rPr>
        <w:t xml:space="preserve">lanning </w:t>
      </w:r>
      <w:r w:rsidR="00147568">
        <w:rPr>
          <w:rFonts w:ascii="Times New Roman" w:hAnsi="Times New Roman" w:cs="Times New Roman"/>
          <w:sz w:val="24"/>
          <w:szCs w:val="24"/>
        </w:rPr>
        <w:t>c</w:t>
      </w:r>
      <w:r w:rsidR="00102872" w:rsidRPr="00D072C0">
        <w:rPr>
          <w:rFonts w:ascii="Times New Roman" w:hAnsi="Times New Roman" w:cs="Times New Roman"/>
          <w:sz w:val="24"/>
          <w:szCs w:val="24"/>
        </w:rPr>
        <w:t xml:space="preserve">ouncils have each held nine meetings for their own region and participated in numerous joint meetings.  All of these meetings have been open to the public, and minutes and materials made available through the water planning website.  </w:t>
      </w:r>
      <w:r w:rsidR="00AF1BC7" w:rsidRPr="00D072C0">
        <w:rPr>
          <w:rFonts w:ascii="Times New Roman" w:hAnsi="Times New Roman" w:cs="Times New Roman"/>
          <w:sz w:val="24"/>
          <w:szCs w:val="24"/>
        </w:rPr>
        <w:t xml:space="preserve">Of the ten regional councils required to submit a plan based on the EPD template, five of them have partial drafts of each chapter.  Four of the councils have </w:t>
      </w:r>
      <w:r w:rsidR="00197E43" w:rsidRPr="00D072C0">
        <w:rPr>
          <w:rFonts w:ascii="Times New Roman" w:hAnsi="Times New Roman" w:cs="Times New Roman"/>
          <w:sz w:val="24"/>
          <w:szCs w:val="24"/>
        </w:rPr>
        <w:t xml:space="preserve">drafts of the selection of water management practices.  </w:t>
      </w:r>
    </w:p>
    <w:p w:rsidR="00892C03" w:rsidRPr="00D072C0" w:rsidRDefault="00252823" w:rsidP="00ED306F">
      <w:pPr>
        <w:ind w:firstLine="720"/>
        <w:rPr>
          <w:rFonts w:ascii="Times New Roman" w:hAnsi="Times New Roman" w:cs="Times New Roman"/>
          <w:sz w:val="24"/>
          <w:szCs w:val="24"/>
        </w:rPr>
      </w:pPr>
      <w:r w:rsidRPr="00D072C0">
        <w:rPr>
          <w:rFonts w:ascii="Times New Roman" w:hAnsi="Times New Roman" w:cs="Times New Roman"/>
          <w:sz w:val="24"/>
          <w:szCs w:val="24"/>
        </w:rPr>
        <w:t xml:space="preserve">The </w:t>
      </w:r>
      <w:r w:rsidR="00EF076A" w:rsidRPr="00D072C0">
        <w:rPr>
          <w:rFonts w:ascii="Times New Roman" w:hAnsi="Times New Roman" w:cs="Times New Roman"/>
          <w:sz w:val="24"/>
          <w:szCs w:val="24"/>
        </w:rPr>
        <w:t xml:space="preserve">initial schedule of milestones </w:t>
      </w:r>
      <w:r w:rsidRPr="00D072C0">
        <w:rPr>
          <w:rFonts w:ascii="Times New Roman" w:hAnsi="Times New Roman" w:cs="Times New Roman"/>
          <w:sz w:val="24"/>
          <w:szCs w:val="24"/>
        </w:rPr>
        <w:t>for submission</w:t>
      </w:r>
      <w:r w:rsidR="00EF076A" w:rsidRPr="00D072C0">
        <w:rPr>
          <w:rFonts w:ascii="Times New Roman" w:hAnsi="Times New Roman" w:cs="Times New Roman"/>
          <w:sz w:val="24"/>
          <w:szCs w:val="24"/>
        </w:rPr>
        <w:t>-review-revision-adoption</w:t>
      </w:r>
      <w:r w:rsidRPr="00D072C0">
        <w:rPr>
          <w:rFonts w:ascii="Times New Roman" w:hAnsi="Times New Roman" w:cs="Times New Roman"/>
          <w:sz w:val="24"/>
          <w:szCs w:val="24"/>
        </w:rPr>
        <w:t xml:space="preserve"> of </w:t>
      </w:r>
      <w:r w:rsidR="00EF076A" w:rsidRPr="00D072C0">
        <w:rPr>
          <w:rFonts w:ascii="Times New Roman" w:hAnsi="Times New Roman" w:cs="Times New Roman"/>
          <w:sz w:val="24"/>
          <w:szCs w:val="24"/>
        </w:rPr>
        <w:t>the regional plans</w:t>
      </w:r>
      <w:r w:rsidRPr="00D072C0">
        <w:rPr>
          <w:rFonts w:ascii="Times New Roman" w:hAnsi="Times New Roman" w:cs="Times New Roman"/>
          <w:sz w:val="24"/>
          <w:szCs w:val="24"/>
        </w:rPr>
        <w:t xml:space="preserve"> has been pushed back </w:t>
      </w:r>
      <w:r w:rsidR="00EF076A" w:rsidRPr="00D072C0">
        <w:rPr>
          <w:rFonts w:ascii="Times New Roman" w:hAnsi="Times New Roman" w:cs="Times New Roman"/>
          <w:sz w:val="24"/>
          <w:szCs w:val="24"/>
        </w:rPr>
        <w:t>3 to 6 months.  The adjustment in the schedule has required an extension to the authorization of the regional water planning councils, as the 3-year term for the councils would have expired prior to completion/adoption of the plans.</w:t>
      </w:r>
      <w:r w:rsidR="00B851A0" w:rsidRPr="00D072C0">
        <w:rPr>
          <w:rFonts w:ascii="Times New Roman" w:hAnsi="Times New Roman" w:cs="Times New Roman"/>
          <w:sz w:val="24"/>
          <w:szCs w:val="24"/>
        </w:rPr>
        <w:t xml:space="preserve">  This should serve as a cautionary anecdote to other states embarking on a comparable endeavor.  Georgia was fortunate that political confrontation did not impede the extension of authorization of the water councils.  It would have been more prudent to authorize these councils for a duration that allowed a buffer beyond the expected date of adopti</w:t>
      </w:r>
      <w:r w:rsidR="003D72CC" w:rsidRPr="00D072C0">
        <w:rPr>
          <w:rFonts w:ascii="Times New Roman" w:hAnsi="Times New Roman" w:cs="Times New Roman"/>
          <w:sz w:val="24"/>
          <w:szCs w:val="24"/>
        </w:rPr>
        <w:t>o</w:t>
      </w:r>
      <w:r w:rsidR="00B851A0" w:rsidRPr="00D072C0">
        <w:rPr>
          <w:rFonts w:ascii="Times New Roman" w:hAnsi="Times New Roman" w:cs="Times New Roman"/>
          <w:sz w:val="24"/>
          <w:szCs w:val="24"/>
        </w:rPr>
        <w:t xml:space="preserve">n of the regional plans.  </w:t>
      </w:r>
      <w:r w:rsidR="003D72CC" w:rsidRPr="00D072C0">
        <w:rPr>
          <w:rFonts w:ascii="Times New Roman" w:hAnsi="Times New Roman" w:cs="Times New Roman"/>
          <w:sz w:val="24"/>
          <w:szCs w:val="24"/>
        </w:rPr>
        <w:t>The nature of the planning process is to identify situations where trade-offs must be made, and to propose mechanisms for realizing those trade-offs.  In the case of water, there are numerous stakeholder groups that may attempt to influence a plan.  If a group perceives a plan will recommend adjustments that they are reluctant to make, they may attempt to derail the plan prior to adoption.  With sufficient political backing, the prevention of council re-authorization would be an effective means of achieving that goal.</w:t>
      </w:r>
    </w:p>
    <w:p w:rsidR="003324A1" w:rsidRPr="00D072C0" w:rsidRDefault="00732447" w:rsidP="003324A1">
      <w:pPr>
        <w:rPr>
          <w:rFonts w:ascii="Times New Roman" w:hAnsi="Times New Roman" w:cs="Times New Roman"/>
          <w:b/>
          <w:sz w:val="24"/>
          <w:szCs w:val="24"/>
        </w:rPr>
      </w:pPr>
      <w:r w:rsidRPr="00D072C0">
        <w:rPr>
          <w:rFonts w:ascii="Times New Roman" w:hAnsi="Times New Roman" w:cs="Times New Roman"/>
          <w:b/>
          <w:sz w:val="24"/>
          <w:szCs w:val="24"/>
        </w:rPr>
        <w:t xml:space="preserve">Water </w:t>
      </w:r>
      <w:r w:rsidR="003324A1" w:rsidRPr="00D072C0">
        <w:rPr>
          <w:rFonts w:ascii="Times New Roman" w:hAnsi="Times New Roman" w:cs="Times New Roman"/>
          <w:b/>
          <w:sz w:val="24"/>
          <w:szCs w:val="24"/>
        </w:rPr>
        <w:t xml:space="preserve">Management Practices </w:t>
      </w:r>
    </w:p>
    <w:p w:rsidR="00732447" w:rsidRPr="00D072C0" w:rsidRDefault="00732447" w:rsidP="003324A1">
      <w:pPr>
        <w:rPr>
          <w:rFonts w:ascii="Times New Roman" w:hAnsi="Times New Roman" w:cs="Times New Roman"/>
          <w:sz w:val="24"/>
          <w:szCs w:val="24"/>
        </w:rPr>
      </w:pPr>
      <w:r w:rsidRPr="00D072C0">
        <w:rPr>
          <w:rFonts w:ascii="Times New Roman" w:hAnsi="Times New Roman" w:cs="Times New Roman"/>
          <w:sz w:val="24"/>
          <w:szCs w:val="24"/>
        </w:rPr>
        <w:t xml:space="preserve">The draft water management plans currently available detail a number of practices aimed at water management.  </w:t>
      </w:r>
      <w:r w:rsidR="00824941" w:rsidRPr="00D072C0">
        <w:rPr>
          <w:rFonts w:ascii="Times New Roman" w:hAnsi="Times New Roman" w:cs="Times New Roman"/>
          <w:sz w:val="24"/>
          <w:szCs w:val="24"/>
        </w:rPr>
        <w:t xml:space="preserve">Often the plans simply “encourage” the use of these practices.  Some of the Councils, however, propose requirements.  </w:t>
      </w:r>
      <w:r w:rsidR="00D8032D">
        <w:rPr>
          <w:rFonts w:ascii="Times New Roman" w:hAnsi="Times New Roman" w:cs="Times New Roman"/>
          <w:sz w:val="24"/>
          <w:szCs w:val="24"/>
        </w:rPr>
        <w:t>A subset of r</w:t>
      </w:r>
      <w:r w:rsidR="006B4463" w:rsidRPr="00D072C0">
        <w:rPr>
          <w:rFonts w:ascii="Times New Roman" w:hAnsi="Times New Roman" w:cs="Times New Roman"/>
          <w:sz w:val="24"/>
          <w:szCs w:val="24"/>
        </w:rPr>
        <w:t xml:space="preserve">ecommended </w:t>
      </w:r>
      <w:r w:rsidR="009336C9" w:rsidRPr="00D072C0">
        <w:rPr>
          <w:rFonts w:ascii="Times New Roman" w:hAnsi="Times New Roman" w:cs="Times New Roman"/>
          <w:sz w:val="24"/>
          <w:szCs w:val="24"/>
        </w:rPr>
        <w:t xml:space="preserve">practices are described </w:t>
      </w:r>
      <w:r w:rsidR="00CC0C52">
        <w:rPr>
          <w:rFonts w:ascii="Times New Roman" w:hAnsi="Times New Roman" w:cs="Times New Roman"/>
          <w:sz w:val="24"/>
          <w:szCs w:val="24"/>
        </w:rPr>
        <w:t xml:space="preserve">and critiqued </w:t>
      </w:r>
      <w:r w:rsidR="009336C9" w:rsidRPr="00D072C0">
        <w:rPr>
          <w:rFonts w:ascii="Times New Roman" w:hAnsi="Times New Roman" w:cs="Times New Roman"/>
          <w:sz w:val="24"/>
          <w:szCs w:val="24"/>
        </w:rPr>
        <w:t>below.</w:t>
      </w:r>
    </w:p>
    <w:p w:rsidR="009336C9" w:rsidRDefault="009336C9" w:rsidP="003324A1">
      <w:pPr>
        <w:rPr>
          <w:rFonts w:ascii="Times New Roman" w:hAnsi="Times New Roman" w:cs="Times New Roman"/>
          <w:sz w:val="24"/>
          <w:szCs w:val="24"/>
        </w:rPr>
      </w:pPr>
      <w:r w:rsidRPr="00D072C0">
        <w:rPr>
          <w:rFonts w:ascii="Times New Roman" w:hAnsi="Times New Roman" w:cs="Times New Roman"/>
          <w:sz w:val="24"/>
          <w:szCs w:val="24"/>
        </w:rPr>
        <w:tab/>
      </w:r>
      <w:proofErr w:type="gramStart"/>
      <w:r w:rsidR="00987027">
        <w:rPr>
          <w:rFonts w:ascii="Times New Roman" w:hAnsi="Times New Roman" w:cs="Times New Roman"/>
          <w:i/>
          <w:sz w:val="24"/>
          <w:szCs w:val="24"/>
          <w:u w:val="single"/>
        </w:rPr>
        <w:t>Multi-Tenant Building Metering</w:t>
      </w:r>
      <w:r w:rsidRPr="00D072C0">
        <w:rPr>
          <w:rFonts w:ascii="Times New Roman" w:hAnsi="Times New Roman" w:cs="Times New Roman"/>
          <w:sz w:val="24"/>
          <w:szCs w:val="24"/>
        </w:rPr>
        <w:t>.</w:t>
      </w:r>
      <w:proofErr w:type="gramEnd"/>
      <w:r w:rsidRPr="00D072C0">
        <w:rPr>
          <w:rFonts w:ascii="Times New Roman" w:hAnsi="Times New Roman" w:cs="Times New Roman"/>
          <w:sz w:val="24"/>
          <w:szCs w:val="24"/>
        </w:rPr>
        <w:t xml:space="preserve">  </w:t>
      </w:r>
      <w:r w:rsidR="006B4463" w:rsidRPr="00D072C0">
        <w:rPr>
          <w:rFonts w:ascii="Times New Roman" w:hAnsi="Times New Roman" w:cs="Times New Roman"/>
          <w:sz w:val="24"/>
          <w:szCs w:val="24"/>
        </w:rPr>
        <w:t xml:space="preserve">Areas of high population density typically have high concentrations of multi-tenant buildings.  High density development is generally more beneficial for water resource conservation and protection than low density.  The lower impervious surface requirements reduce </w:t>
      </w:r>
      <w:proofErr w:type="spellStart"/>
      <w:r w:rsidR="006B4463" w:rsidRPr="00D072C0">
        <w:rPr>
          <w:rFonts w:ascii="Times New Roman" w:hAnsi="Times New Roman" w:cs="Times New Roman"/>
          <w:sz w:val="24"/>
          <w:szCs w:val="24"/>
        </w:rPr>
        <w:t>stormwater</w:t>
      </w:r>
      <w:proofErr w:type="spellEnd"/>
      <w:r w:rsidR="006B4463" w:rsidRPr="00D072C0">
        <w:rPr>
          <w:rFonts w:ascii="Times New Roman" w:hAnsi="Times New Roman" w:cs="Times New Roman"/>
          <w:sz w:val="24"/>
          <w:szCs w:val="24"/>
        </w:rPr>
        <w:t xml:space="preserve"> concerns related to flow rates and pollution transport.  Multi-tenant buildings also reduce outdoor residential watering by reducing the per capita area of irrigated landscape surface</w:t>
      </w:r>
      <w:r w:rsidR="006F0D1C" w:rsidRPr="00D072C0">
        <w:rPr>
          <w:rFonts w:ascii="Times New Roman" w:hAnsi="Times New Roman" w:cs="Times New Roman"/>
          <w:sz w:val="24"/>
          <w:szCs w:val="24"/>
        </w:rPr>
        <w:t xml:space="preserve">.  However, many multi-tenant buildings are rental properties with a single water meter, as opposed to a meter for every unit.  This forces the landlord to fold a fixed water utility charge into the rent, decoupling tenant water use from its cost.  </w:t>
      </w:r>
      <w:r w:rsidR="000D6C77" w:rsidRPr="00D072C0">
        <w:rPr>
          <w:rFonts w:ascii="Times New Roman" w:hAnsi="Times New Roman" w:cs="Times New Roman"/>
          <w:sz w:val="24"/>
          <w:szCs w:val="24"/>
        </w:rPr>
        <w:t xml:space="preserve">As most leases are for 12 months or more, there can be considerable lags between water price adjustments </w:t>
      </w:r>
      <w:proofErr w:type="gramStart"/>
      <w:r w:rsidR="00145D6B" w:rsidRPr="00D072C0">
        <w:rPr>
          <w:rFonts w:ascii="Times New Roman" w:hAnsi="Times New Roman" w:cs="Times New Roman"/>
          <w:sz w:val="24"/>
          <w:szCs w:val="24"/>
        </w:rPr>
        <w:t>landlords</w:t>
      </w:r>
      <w:proofErr w:type="gramEnd"/>
      <w:r w:rsidR="00145D6B" w:rsidRPr="00D072C0">
        <w:rPr>
          <w:rFonts w:ascii="Times New Roman" w:hAnsi="Times New Roman" w:cs="Times New Roman"/>
          <w:sz w:val="24"/>
          <w:szCs w:val="24"/>
        </w:rPr>
        <w:t xml:space="preserve"> face </w:t>
      </w:r>
      <w:r w:rsidR="000D6C77" w:rsidRPr="00D072C0">
        <w:rPr>
          <w:rFonts w:ascii="Times New Roman" w:hAnsi="Times New Roman" w:cs="Times New Roman"/>
          <w:sz w:val="24"/>
          <w:szCs w:val="24"/>
        </w:rPr>
        <w:t xml:space="preserve">and </w:t>
      </w:r>
      <w:r w:rsidR="00145D6B" w:rsidRPr="00D072C0">
        <w:rPr>
          <w:rFonts w:ascii="Times New Roman" w:hAnsi="Times New Roman" w:cs="Times New Roman"/>
          <w:sz w:val="24"/>
          <w:szCs w:val="24"/>
        </w:rPr>
        <w:t xml:space="preserve">their ability to pass those signals on to their tenants.  Furthermore, the fixed charge nature of the lease agreements mutes the price signal.  </w:t>
      </w:r>
      <w:r w:rsidR="006F0D1C" w:rsidRPr="00D072C0">
        <w:rPr>
          <w:rFonts w:ascii="Times New Roman" w:hAnsi="Times New Roman" w:cs="Times New Roman"/>
          <w:sz w:val="24"/>
          <w:szCs w:val="24"/>
        </w:rPr>
        <w:t>Metering individual units will enable price signals to affect tenant behavior in a more timely and direct manner</w:t>
      </w:r>
      <w:r w:rsidR="00145D6B" w:rsidRPr="00D072C0">
        <w:rPr>
          <w:rFonts w:ascii="Times New Roman" w:hAnsi="Times New Roman" w:cs="Times New Roman"/>
          <w:sz w:val="24"/>
          <w:szCs w:val="24"/>
        </w:rPr>
        <w:t>, leading to more efficient water use</w:t>
      </w:r>
      <w:r w:rsidR="006F0D1C" w:rsidRPr="00D072C0">
        <w:rPr>
          <w:rFonts w:ascii="Times New Roman" w:hAnsi="Times New Roman" w:cs="Times New Roman"/>
          <w:sz w:val="24"/>
          <w:szCs w:val="24"/>
        </w:rPr>
        <w:t>.</w:t>
      </w:r>
    </w:p>
    <w:p w:rsidR="000B5058" w:rsidRPr="00D072C0" w:rsidRDefault="000B5058" w:rsidP="003324A1">
      <w:pPr>
        <w:rPr>
          <w:rFonts w:ascii="Times New Roman" w:hAnsi="Times New Roman" w:cs="Times New Roman"/>
          <w:sz w:val="24"/>
          <w:szCs w:val="24"/>
        </w:rPr>
      </w:pPr>
      <w:r>
        <w:rPr>
          <w:rFonts w:ascii="Times New Roman" w:hAnsi="Times New Roman" w:cs="Times New Roman"/>
          <w:sz w:val="24"/>
          <w:szCs w:val="24"/>
        </w:rPr>
        <w:tab/>
        <w:t xml:space="preserve">The effect of this practice on aggregate water use depends on the number of households affected, and the responsiveness of households in multi-tenant buildings to changes in the price of water.  There is empirical evidence indicating that the own-price elasticity of water use for multi-tenant buildings is non-zero, but low.  </w:t>
      </w:r>
      <w:r w:rsidR="00C46AB1">
        <w:rPr>
          <w:rFonts w:ascii="Times New Roman" w:hAnsi="Times New Roman" w:cs="Times New Roman"/>
          <w:sz w:val="24"/>
          <w:szCs w:val="24"/>
        </w:rPr>
        <w:t xml:space="preserve">For example, </w:t>
      </w:r>
      <w:proofErr w:type="spellStart"/>
      <w:r>
        <w:rPr>
          <w:rFonts w:ascii="Times New Roman" w:hAnsi="Times New Roman" w:cs="Times New Roman"/>
          <w:sz w:val="24"/>
          <w:szCs w:val="24"/>
        </w:rPr>
        <w:t>Dziegielewski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Opitz</w:t>
      </w:r>
      <w:proofErr w:type="spellEnd"/>
      <w:r>
        <w:rPr>
          <w:rFonts w:ascii="Times New Roman" w:hAnsi="Times New Roman" w:cs="Times New Roman"/>
          <w:sz w:val="24"/>
          <w:szCs w:val="24"/>
        </w:rPr>
        <w:t xml:space="preserve"> </w:t>
      </w:r>
      <w:r w:rsidR="00C46AB1">
        <w:rPr>
          <w:rFonts w:ascii="Times New Roman" w:hAnsi="Times New Roman" w:cs="Times New Roman"/>
          <w:sz w:val="24"/>
          <w:szCs w:val="24"/>
        </w:rPr>
        <w:t>(1991)</w:t>
      </w:r>
      <w:r w:rsidR="000862B1">
        <w:rPr>
          <w:rFonts w:ascii="Times New Roman" w:hAnsi="Times New Roman" w:cs="Times New Roman"/>
          <w:sz w:val="24"/>
          <w:szCs w:val="24"/>
        </w:rPr>
        <w:t xml:space="preserve"> found the own-price elasticity to be -0.13 in the winter and -0.15 in the summer.  With this in mind, the installation of meters in multi-tenant buildings will have an appreciable impact on aggregate water use only where large populations are affected.</w:t>
      </w:r>
    </w:p>
    <w:p w:rsidR="00B20A10" w:rsidRPr="00D072C0" w:rsidRDefault="00987027" w:rsidP="00ED306F">
      <w:pPr>
        <w:ind w:firstLine="720"/>
        <w:rPr>
          <w:rFonts w:ascii="Times New Roman" w:hAnsi="Times New Roman" w:cs="Times New Roman"/>
          <w:sz w:val="24"/>
          <w:szCs w:val="24"/>
        </w:rPr>
      </w:pPr>
      <w:proofErr w:type="gramStart"/>
      <w:r w:rsidRPr="00987027">
        <w:rPr>
          <w:rFonts w:ascii="Times New Roman" w:hAnsi="Times New Roman" w:cs="Times New Roman"/>
          <w:i/>
          <w:sz w:val="24"/>
          <w:szCs w:val="24"/>
          <w:u w:val="single"/>
        </w:rPr>
        <w:t>High Efficiency Plumbing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B20A10" w:rsidRPr="00D072C0">
        <w:rPr>
          <w:rFonts w:ascii="Times New Roman" w:hAnsi="Times New Roman" w:cs="Times New Roman"/>
          <w:sz w:val="24"/>
          <w:szCs w:val="24"/>
        </w:rPr>
        <w:t xml:space="preserve">Another </w:t>
      </w:r>
      <w:r w:rsidR="004519C8" w:rsidRPr="00D072C0">
        <w:rPr>
          <w:rFonts w:ascii="Times New Roman" w:hAnsi="Times New Roman" w:cs="Times New Roman"/>
          <w:sz w:val="24"/>
          <w:szCs w:val="24"/>
        </w:rPr>
        <w:t xml:space="preserve">practice promoted by several councils is requiring new construction to install high efficiency plumbing.  This is an effective way to reduce future water use per capita, but does not address current consumption patterns or waste.  Curiously, one of the councils has not recommended this requirement, instead requiring all government buildings </w:t>
      </w:r>
      <w:r w:rsidR="00E40495" w:rsidRPr="00D072C0">
        <w:rPr>
          <w:rFonts w:ascii="Times New Roman" w:hAnsi="Times New Roman" w:cs="Times New Roman"/>
          <w:sz w:val="24"/>
          <w:szCs w:val="24"/>
        </w:rPr>
        <w:t xml:space="preserve">retrofit existing plumbing and encouraging residential users to do the same.  </w:t>
      </w:r>
      <w:r w:rsidR="002B3ECB" w:rsidRPr="00D072C0">
        <w:rPr>
          <w:rFonts w:ascii="Times New Roman" w:hAnsi="Times New Roman" w:cs="Times New Roman"/>
          <w:sz w:val="24"/>
          <w:szCs w:val="24"/>
        </w:rPr>
        <w:t xml:space="preserve">Residential retrofit kits are proposed to be distributed and subsidized by local governments.   In this region, the cost of realizing indoor water use efficiency gains would be borne almost entirely by the public sector.  Implementation of this practice is particularly vulnerable to the acute budget shortfalls many municipalities and counties across the country currently face.  </w:t>
      </w:r>
    </w:p>
    <w:p w:rsidR="00A03DBF" w:rsidRDefault="00987027" w:rsidP="00ED306F">
      <w:pPr>
        <w:ind w:firstLine="720"/>
        <w:rPr>
          <w:rFonts w:ascii="Times New Roman" w:hAnsi="Times New Roman" w:cs="Times New Roman"/>
          <w:sz w:val="24"/>
          <w:szCs w:val="24"/>
        </w:rPr>
      </w:pPr>
      <w:proofErr w:type="gramStart"/>
      <w:r>
        <w:rPr>
          <w:rFonts w:ascii="Times New Roman" w:hAnsi="Times New Roman" w:cs="Times New Roman"/>
          <w:i/>
          <w:sz w:val="24"/>
          <w:szCs w:val="24"/>
          <w:u w:val="single"/>
        </w:rPr>
        <w:t>Increasing Block Rates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0B7687" w:rsidRPr="00D072C0">
        <w:rPr>
          <w:rFonts w:ascii="Times New Roman" w:hAnsi="Times New Roman" w:cs="Times New Roman"/>
          <w:sz w:val="24"/>
          <w:szCs w:val="24"/>
        </w:rPr>
        <w:t xml:space="preserve">Block rate pricing is a common practice </w:t>
      </w:r>
      <w:r w:rsidR="00D072C0">
        <w:rPr>
          <w:rFonts w:ascii="Times New Roman" w:hAnsi="Times New Roman" w:cs="Times New Roman"/>
          <w:sz w:val="24"/>
          <w:szCs w:val="24"/>
        </w:rPr>
        <w:t>of water suppliers</w:t>
      </w:r>
      <w:r w:rsidR="000B7687" w:rsidRPr="00D072C0">
        <w:rPr>
          <w:rFonts w:ascii="Times New Roman" w:hAnsi="Times New Roman" w:cs="Times New Roman"/>
          <w:sz w:val="24"/>
          <w:szCs w:val="24"/>
        </w:rPr>
        <w:t xml:space="preserve">.  Prior to 1980, </w:t>
      </w:r>
      <w:r w:rsidR="009006C3">
        <w:rPr>
          <w:rFonts w:ascii="Times New Roman" w:hAnsi="Times New Roman" w:cs="Times New Roman"/>
          <w:sz w:val="24"/>
          <w:szCs w:val="24"/>
        </w:rPr>
        <w:t>even for residential customers, many areas of the U</w:t>
      </w:r>
      <w:r w:rsidR="00147568">
        <w:rPr>
          <w:rFonts w:ascii="Times New Roman" w:hAnsi="Times New Roman" w:cs="Times New Roman"/>
          <w:sz w:val="24"/>
          <w:szCs w:val="24"/>
        </w:rPr>
        <w:t>.</w:t>
      </w:r>
      <w:r w:rsidR="009006C3">
        <w:rPr>
          <w:rFonts w:ascii="Times New Roman" w:hAnsi="Times New Roman" w:cs="Times New Roman"/>
          <w:sz w:val="24"/>
          <w:szCs w:val="24"/>
        </w:rPr>
        <w:t>S</w:t>
      </w:r>
      <w:r w:rsidR="00147568">
        <w:rPr>
          <w:rFonts w:ascii="Times New Roman" w:hAnsi="Times New Roman" w:cs="Times New Roman"/>
          <w:sz w:val="24"/>
          <w:szCs w:val="24"/>
        </w:rPr>
        <w:t>.</w:t>
      </w:r>
      <w:r w:rsidR="009006C3">
        <w:rPr>
          <w:rFonts w:ascii="Times New Roman" w:hAnsi="Times New Roman" w:cs="Times New Roman"/>
          <w:sz w:val="24"/>
          <w:szCs w:val="24"/>
        </w:rPr>
        <w:t xml:space="preserve"> employed </w:t>
      </w:r>
      <w:r w:rsidR="00F46BB3" w:rsidRPr="00D072C0">
        <w:rPr>
          <w:rFonts w:ascii="Times New Roman" w:hAnsi="Times New Roman" w:cs="Times New Roman"/>
          <w:sz w:val="24"/>
          <w:szCs w:val="24"/>
        </w:rPr>
        <w:t xml:space="preserve">decreasing block rates, where an initial amount </w:t>
      </w:r>
      <w:r w:rsidR="00380D82" w:rsidRPr="00D072C0">
        <w:rPr>
          <w:rFonts w:ascii="Times New Roman" w:hAnsi="Times New Roman" w:cs="Times New Roman"/>
          <w:sz w:val="24"/>
          <w:szCs w:val="24"/>
        </w:rPr>
        <w:t>of water is priced highest</w:t>
      </w:r>
      <w:r w:rsidR="00F46BB3" w:rsidRPr="00D072C0">
        <w:rPr>
          <w:rFonts w:ascii="Times New Roman" w:hAnsi="Times New Roman" w:cs="Times New Roman"/>
          <w:sz w:val="24"/>
          <w:szCs w:val="24"/>
        </w:rPr>
        <w:t xml:space="preserve"> and</w:t>
      </w:r>
      <w:r w:rsidR="009006C3">
        <w:rPr>
          <w:rFonts w:ascii="Times New Roman" w:hAnsi="Times New Roman" w:cs="Times New Roman"/>
          <w:sz w:val="24"/>
          <w:szCs w:val="24"/>
        </w:rPr>
        <w:t xml:space="preserve"> the price of successive volumetric “blocks”</w:t>
      </w:r>
      <w:r w:rsidR="00F46BB3" w:rsidRPr="00D072C0">
        <w:rPr>
          <w:rFonts w:ascii="Times New Roman" w:hAnsi="Times New Roman" w:cs="Times New Roman"/>
          <w:sz w:val="24"/>
          <w:szCs w:val="24"/>
        </w:rPr>
        <w:t xml:space="preserve"> decline</w:t>
      </w:r>
      <w:r w:rsidR="00F746CA" w:rsidRPr="00D072C0">
        <w:rPr>
          <w:rFonts w:ascii="Times New Roman" w:hAnsi="Times New Roman" w:cs="Times New Roman"/>
          <w:sz w:val="24"/>
          <w:szCs w:val="24"/>
        </w:rPr>
        <w:t>s</w:t>
      </w:r>
      <w:r w:rsidR="009006C3">
        <w:rPr>
          <w:rFonts w:ascii="Times New Roman" w:hAnsi="Times New Roman" w:cs="Times New Roman"/>
          <w:sz w:val="24"/>
          <w:szCs w:val="24"/>
        </w:rPr>
        <w:t xml:space="preserve"> as use increases</w:t>
      </w:r>
      <w:r w:rsidR="00380D82" w:rsidRPr="00D072C0">
        <w:rPr>
          <w:rFonts w:ascii="Times New Roman" w:hAnsi="Times New Roman" w:cs="Times New Roman"/>
          <w:sz w:val="24"/>
          <w:szCs w:val="24"/>
        </w:rPr>
        <w:t xml:space="preserve">.  </w:t>
      </w:r>
      <w:r w:rsidR="00A03DBF">
        <w:rPr>
          <w:rFonts w:ascii="Times New Roman" w:hAnsi="Times New Roman" w:cs="Times New Roman"/>
          <w:sz w:val="24"/>
          <w:szCs w:val="24"/>
        </w:rPr>
        <w:t>As the American Water Works Association (AWWA) states, “Residential and small commercial customers usually have greater demand (peaking) factors than larger commercial and industrial customers.  As a result, residential and small comme</w:t>
      </w:r>
      <w:r w:rsidR="006F371A">
        <w:rPr>
          <w:rFonts w:ascii="Times New Roman" w:hAnsi="Times New Roman" w:cs="Times New Roman"/>
          <w:sz w:val="24"/>
          <w:szCs w:val="24"/>
        </w:rPr>
        <w:t xml:space="preserve">rcial customers typically have </w:t>
      </w:r>
      <w:r w:rsidR="00A03DBF">
        <w:rPr>
          <w:rFonts w:ascii="Times New Roman" w:hAnsi="Times New Roman" w:cs="Times New Roman"/>
          <w:sz w:val="24"/>
          <w:szCs w:val="24"/>
        </w:rPr>
        <w:t>a</w:t>
      </w:r>
      <w:r w:rsidR="006F371A">
        <w:rPr>
          <w:rFonts w:ascii="Times New Roman" w:hAnsi="Times New Roman" w:cs="Times New Roman"/>
          <w:sz w:val="24"/>
          <w:szCs w:val="24"/>
        </w:rPr>
        <w:t xml:space="preserve"> </w:t>
      </w:r>
      <w:r w:rsidR="00A03DBF">
        <w:rPr>
          <w:rFonts w:ascii="Times New Roman" w:hAnsi="Times New Roman" w:cs="Times New Roman"/>
          <w:sz w:val="24"/>
          <w:szCs w:val="24"/>
        </w:rPr>
        <w:t xml:space="preserve">higher unit cost to provide capacity requirements than large commercial and industrial customers.  A declining block rate structure attempts to reflect the differences in usage levels and capacity-related costs…” (p. 92).  </w:t>
      </w:r>
    </w:p>
    <w:p w:rsidR="00DF252C" w:rsidRDefault="00380D82" w:rsidP="006F371A">
      <w:pPr>
        <w:ind w:firstLine="720"/>
        <w:rPr>
          <w:rFonts w:ascii="Times New Roman" w:hAnsi="Times New Roman" w:cs="Times New Roman"/>
          <w:sz w:val="24"/>
          <w:szCs w:val="24"/>
        </w:rPr>
      </w:pPr>
      <w:r w:rsidRPr="00D072C0">
        <w:rPr>
          <w:rFonts w:ascii="Times New Roman" w:hAnsi="Times New Roman" w:cs="Times New Roman"/>
          <w:sz w:val="24"/>
          <w:szCs w:val="24"/>
        </w:rPr>
        <w:t>In the last 30 years, most water suppliers have inverted this price schedule for residential uses, and now apply varia</w:t>
      </w:r>
      <w:r w:rsidR="00D8632B" w:rsidRPr="00D072C0">
        <w:rPr>
          <w:rFonts w:ascii="Times New Roman" w:hAnsi="Times New Roman" w:cs="Times New Roman"/>
          <w:sz w:val="24"/>
          <w:szCs w:val="24"/>
        </w:rPr>
        <w:t xml:space="preserve">nts of increasing block rates.  </w:t>
      </w:r>
      <w:r w:rsidR="000D1784" w:rsidRPr="00D072C0">
        <w:rPr>
          <w:rFonts w:ascii="Times New Roman" w:hAnsi="Times New Roman" w:cs="Times New Roman"/>
          <w:sz w:val="24"/>
          <w:szCs w:val="24"/>
        </w:rPr>
        <w:t xml:space="preserve">In Georgia, </w:t>
      </w:r>
      <w:r w:rsidR="006F371A">
        <w:rPr>
          <w:rFonts w:ascii="Times New Roman" w:hAnsi="Times New Roman" w:cs="Times New Roman"/>
          <w:sz w:val="24"/>
          <w:szCs w:val="24"/>
        </w:rPr>
        <w:t xml:space="preserve">however, </w:t>
      </w:r>
      <w:r w:rsidR="000D1784" w:rsidRPr="00D072C0">
        <w:rPr>
          <w:rFonts w:ascii="Times New Roman" w:hAnsi="Times New Roman" w:cs="Times New Roman"/>
          <w:sz w:val="24"/>
          <w:szCs w:val="24"/>
        </w:rPr>
        <w:t xml:space="preserve">there remain a number of locations where decreasing block rates persist for residential users. </w:t>
      </w:r>
      <w:r w:rsidR="00E93AEE">
        <w:rPr>
          <w:rFonts w:ascii="Times New Roman" w:hAnsi="Times New Roman" w:cs="Times New Roman"/>
          <w:sz w:val="24"/>
          <w:szCs w:val="24"/>
        </w:rPr>
        <w:t xml:space="preserve"> One of the councils has recommended eliminating residential decreasing block rates in favor of increasing block rates.  If the objective is to induce conservation, such a change is likely to be successful.  Empirical evidence suggests residential summer use – which is higher than winter use – is more price elastic than winter use (</w:t>
      </w:r>
      <w:proofErr w:type="spellStart"/>
      <w:r w:rsidR="00E93AEE">
        <w:rPr>
          <w:rFonts w:ascii="Times New Roman" w:hAnsi="Times New Roman" w:cs="Times New Roman"/>
          <w:sz w:val="24"/>
          <w:szCs w:val="24"/>
        </w:rPr>
        <w:t>Dalhuisen</w:t>
      </w:r>
      <w:proofErr w:type="spellEnd"/>
      <w:r w:rsidR="00E93AEE">
        <w:rPr>
          <w:rFonts w:ascii="Times New Roman" w:hAnsi="Times New Roman" w:cs="Times New Roman"/>
          <w:sz w:val="24"/>
          <w:szCs w:val="24"/>
        </w:rPr>
        <w:t xml:space="preserve"> et al., 2003</w:t>
      </w:r>
      <w:r w:rsidR="004F64A4">
        <w:rPr>
          <w:rFonts w:ascii="Times New Roman" w:hAnsi="Times New Roman" w:cs="Times New Roman"/>
          <w:sz w:val="24"/>
          <w:szCs w:val="24"/>
        </w:rPr>
        <w:t>; Planning and Management Consultants, Ltd., 1996</w:t>
      </w:r>
      <w:r w:rsidR="00E93AEE">
        <w:rPr>
          <w:rFonts w:ascii="Times New Roman" w:hAnsi="Times New Roman" w:cs="Times New Roman"/>
          <w:sz w:val="24"/>
          <w:szCs w:val="24"/>
        </w:rPr>
        <w:t>).  As such, an increasing block rate is likely to reduce residential outdoor watering in the summer months.</w:t>
      </w:r>
      <w:r w:rsidR="006F371A">
        <w:rPr>
          <w:rFonts w:ascii="Times New Roman" w:hAnsi="Times New Roman" w:cs="Times New Roman"/>
          <w:sz w:val="24"/>
          <w:szCs w:val="24"/>
        </w:rPr>
        <w:t xml:space="preserve">  </w:t>
      </w:r>
    </w:p>
    <w:p w:rsidR="006F371A" w:rsidRDefault="00DF252C" w:rsidP="006F371A">
      <w:pPr>
        <w:ind w:firstLine="720"/>
        <w:rPr>
          <w:rFonts w:ascii="Times New Roman" w:hAnsi="Times New Roman" w:cs="Times New Roman"/>
          <w:sz w:val="24"/>
          <w:szCs w:val="24"/>
        </w:rPr>
      </w:pPr>
      <w:r>
        <w:rPr>
          <w:rFonts w:ascii="Times New Roman" w:hAnsi="Times New Roman" w:cs="Times New Roman"/>
          <w:sz w:val="24"/>
          <w:szCs w:val="24"/>
        </w:rPr>
        <w:t>Depending on the design on the increasing block rate, there may be other consequences from the switch.  I</w:t>
      </w:r>
      <w:r w:rsidR="00B9706B">
        <w:rPr>
          <w:rFonts w:ascii="Times New Roman" w:hAnsi="Times New Roman" w:cs="Times New Roman"/>
          <w:sz w:val="24"/>
          <w:szCs w:val="24"/>
        </w:rPr>
        <w:t xml:space="preserve">ncreasing block rates </w:t>
      </w:r>
      <w:r>
        <w:rPr>
          <w:rFonts w:ascii="Times New Roman" w:hAnsi="Times New Roman" w:cs="Times New Roman"/>
          <w:sz w:val="24"/>
          <w:szCs w:val="24"/>
        </w:rPr>
        <w:t xml:space="preserve">typically </w:t>
      </w:r>
      <w:r w:rsidR="00B9706B">
        <w:rPr>
          <w:rFonts w:ascii="Times New Roman" w:hAnsi="Times New Roman" w:cs="Times New Roman"/>
          <w:sz w:val="24"/>
          <w:szCs w:val="24"/>
        </w:rPr>
        <w:t xml:space="preserve">provide indirect subsidization of poor households (those that use very little water) by wealthy households and industry (Rogers et al., 2002; Boland and Whittington, 1998).  </w:t>
      </w:r>
      <w:r>
        <w:rPr>
          <w:rFonts w:ascii="Times New Roman" w:hAnsi="Times New Roman" w:cs="Times New Roman"/>
          <w:sz w:val="24"/>
          <w:szCs w:val="24"/>
        </w:rPr>
        <w:t xml:space="preserve">Additionally, increasing block rates </w:t>
      </w:r>
      <w:r w:rsidRPr="00D072C0">
        <w:rPr>
          <w:rFonts w:ascii="Times New Roman" w:hAnsi="Times New Roman" w:cs="Times New Roman"/>
          <w:sz w:val="24"/>
          <w:szCs w:val="24"/>
        </w:rPr>
        <w:t xml:space="preserve">result in a </w:t>
      </w:r>
      <w:r>
        <w:rPr>
          <w:rFonts w:ascii="Times New Roman" w:hAnsi="Times New Roman" w:cs="Times New Roman"/>
          <w:sz w:val="24"/>
          <w:szCs w:val="24"/>
        </w:rPr>
        <w:t xml:space="preserve">less </w:t>
      </w:r>
      <w:r w:rsidRPr="00D072C0">
        <w:rPr>
          <w:rFonts w:ascii="Times New Roman" w:hAnsi="Times New Roman" w:cs="Times New Roman"/>
          <w:sz w:val="24"/>
          <w:szCs w:val="24"/>
        </w:rPr>
        <w:t>stable income stream for the water utility because, when consumers cut back on use, t</w:t>
      </w:r>
      <w:r>
        <w:rPr>
          <w:rFonts w:ascii="Times New Roman" w:hAnsi="Times New Roman" w:cs="Times New Roman"/>
          <w:sz w:val="24"/>
          <w:szCs w:val="24"/>
        </w:rPr>
        <w:t xml:space="preserve">hey cut back on the high priced </w:t>
      </w:r>
      <w:r w:rsidRPr="00D072C0">
        <w:rPr>
          <w:rFonts w:ascii="Times New Roman" w:hAnsi="Times New Roman" w:cs="Times New Roman"/>
          <w:sz w:val="24"/>
          <w:szCs w:val="24"/>
        </w:rPr>
        <w:t>use first.</w:t>
      </w:r>
      <w:r>
        <w:rPr>
          <w:rFonts w:ascii="Times New Roman" w:hAnsi="Times New Roman" w:cs="Times New Roman"/>
          <w:sz w:val="24"/>
          <w:szCs w:val="24"/>
        </w:rPr>
        <w:t xml:space="preserve">  P</w:t>
      </w:r>
      <w:r w:rsidRPr="00D072C0">
        <w:rPr>
          <w:rFonts w:ascii="Times New Roman" w:hAnsi="Times New Roman" w:cs="Times New Roman"/>
          <w:sz w:val="24"/>
          <w:szCs w:val="24"/>
        </w:rPr>
        <w:t>ublic</w:t>
      </w:r>
      <w:r w:rsidR="00825653">
        <w:rPr>
          <w:rFonts w:ascii="Times New Roman" w:hAnsi="Times New Roman" w:cs="Times New Roman"/>
          <w:sz w:val="24"/>
          <w:szCs w:val="24"/>
        </w:rPr>
        <w:t>ly owned water utilities may desire a stable revenue stream</w:t>
      </w:r>
      <w:r w:rsidRPr="00D072C0">
        <w:rPr>
          <w:rFonts w:ascii="Times New Roman" w:hAnsi="Times New Roman" w:cs="Times New Roman"/>
          <w:sz w:val="24"/>
          <w:szCs w:val="24"/>
        </w:rPr>
        <w:t xml:space="preserve">, which can reduce borrowing costs for infrastructure projects and prevent borrowing for operating costs.  </w:t>
      </w:r>
      <w:r w:rsidR="00825653">
        <w:rPr>
          <w:rFonts w:ascii="Times New Roman" w:hAnsi="Times New Roman" w:cs="Times New Roman"/>
          <w:sz w:val="24"/>
          <w:szCs w:val="24"/>
        </w:rPr>
        <w:t xml:space="preserve">Furthermore, publicly owned utilities may be legally restricted from realizing profits.  When prices are above average cost, profits will arise.  This </w:t>
      </w:r>
      <w:r w:rsidR="004E5F13">
        <w:rPr>
          <w:rFonts w:ascii="Times New Roman" w:hAnsi="Times New Roman" w:cs="Times New Roman"/>
          <w:sz w:val="24"/>
          <w:szCs w:val="24"/>
        </w:rPr>
        <w:t xml:space="preserve">is </w:t>
      </w:r>
      <w:r w:rsidR="00825653">
        <w:rPr>
          <w:rFonts w:ascii="Times New Roman" w:hAnsi="Times New Roman" w:cs="Times New Roman"/>
          <w:sz w:val="24"/>
          <w:szCs w:val="24"/>
        </w:rPr>
        <w:t>more likely to happen u</w:t>
      </w:r>
      <w:r w:rsidR="004E5F13">
        <w:rPr>
          <w:rFonts w:ascii="Times New Roman" w:hAnsi="Times New Roman" w:cs="Times New Roman"/>
          <w:sz w:val="24"/>
          <w:szCs w:val="24"/>
        </w:rPr>
        <w:t xml:space="preserve">sing </w:t>
      </w:r>
      <w:r w:rsidR="00825653">
        <w:rPr>
          <w:rFonts w:ascii="Times New Roman" w:hAnsi="Times New Roman" w:cs="Times New Roman"/>
          <w:sz w:val="24"/>
          <w:szCs w:val="24"/>
        </w:rPr>
        <w:t>inc</w:t>
      </w:r>
      <w:r w:rsidR="004E5F13">
        <w:rPr>
          <w:rFonts w:ascii="Times New Roman" w:hAnsi="Times New Roman" w:cs="Times New Roman"/>
          <w:sz w:val="24"/>
          <w:szCs w:val="24"/>
        </w:rPr>
        <w:t>reasing block rate</w:t>
      </w:r>
      <w:r w:rsidR="00825653">
        <w:rPr>
          <w:rFonts w:ascii="Times New Roman" w:hAnsi="Times New Roman" w:cs="Times New Roman"/>
          <w:sz w:val="24"/>
          <w:szCs w:val="24"/>
        </w:rPr>
        <w:t>.</w:t>
      </w:r>
    </w:p>
    <w:p w:rsidR="005F169E" w:rsidRDefault="009629B7" w:rsidP="006F371A">
      <w:pPr>
        <w:ind w:firstLine="720"/>
        <w:rPr>
          <w:rFonts w:ascii="Times New Roman" w:hAnsi="Times New Roman" w:cs="Times New Roman"/>
          <w:sz w:val="24"/>
          <w:szCs w:val="24"/>
        </w:rPr>
      </w:pPr>
      <w:r>
        <w:rPr>
          <w:rFonts w:ascii="Times New Roman" w:hAnsi="Times New Roman" w:cs="Times New Roman"/>
          <w:sz w:val="24"/>
          <w:szCs w:val="24"/>
        </w:rPr>
        <w:t xml:space="preserve">Of course, for economic efficiency, water would ideally be priced at its marginal cost.  </w:t>
      </w:r>
      <w:r w:rsidR="00D8632B" w:rsidRPr="00D072C0">
        <w:rPr>
          <w:rFonts w:ascii="Times New Roman" w:hAnsi="Times New Roman" w:cs="Times New Roman"/>
          <w:sz w:val="24"/>
          <w:szCs w:val="24"/>
        </w:rPr>
        <w:t xml:space="preserve">Pricing </w:t>
      </w:r>
      <w:r w:rsidR="00A36B2C">
        <w:rPr>
          <w:rFonts w:ascii="Times New Roman" w:hAnsi="Times New Roman" w:cs="Times New Roman"/>
          <w:sz w:val="24"/>
          <w:szCs w:val="24"/>
        </w:rPr>
        <w:t xml:space="preserve">off-stream </w:t>
      </w:r>
      <w:r w:rsidR="00D8632B" w:rsidRPr="00D072C0">
        <w:rPr>
          <w:rFonts w:ascii="Times New Roman" w:hAnsi="Times New Roman" w:cs="Times New Roman"/>
          <w:sz w:val="24"/>
          <w:szCs w:val="24"/>
        </w:rPr>
        <w:t xml:space="preserve">water </w:t>
      </w:r>
      <w:r w:rsidR="00A36B2C">
        <w:rPr>
          <w:rFonts w:ascii="Times New Roman" w:hAnsi="Times New Roman" w:cs="Times New Roman"/>
          <w:sz w:val="24"/>
          <w:szCs w:val="24"/>
        </w:rPr>
        <w:t xml:space="preserve">use </w:t>
      </w:r>
      <w:r w:rsidR="00D8632B" w:rsidRPr="00D072C0">
        <w:rPr>
          <w:rFonts w:ascii="Times New Roman" w:hAnsi="Times New Roman" w:cs="Times New Roman"/>
          <w:sz w:val="24"/>
          <w:szCs w:val="24"/>
        </w:rPr>
        <w:t>to reflect its true marginal cost</w:t>
      </w:r>
      <w:r>
        <w:rPr>
          <w:rFonts w:ascii="Times New Roman" w:hAnsi="Times New Roman" w:cs="Times New Roman"/>
          <w:sz w:val="24"/>
          <w:szCs w:val="24"/>
        </w:rPr>
        <w:t xml:space="preserve">, </w:t>
      </w:r>
      <w:r w:rsidR="004E5F13">
        <w:rPr>
          <w:rFonts w:ascii="Times New Roman" w:hAnsi="Times New Roman" w:cs="Times New Roman"/>
          <w:sz w:val="24"/>
          <w:szCs w:val="24"/>
        </w:rPr>
        <w:t>including the external costs related to in-stream uses, is difficult.  T</w:t>
      </w:r>
      <w:r w:rsidR="00D8632B" w:rsidRPr="00D072C0">
        <w:rPr>
          <w:rFonts w:ascii="Times New Roman" w:hAnsi="Times New Roman" w:cs="Times New Roman"/>
          <w:sz w:val="24"/>
          <w:szCs w:val="24"/>
        </w:rPr>
        <w:t>he cost of water delivery is largely a sunk cost</w:t>
      </w:r>
      <w:r w:rsidR="000D1784">
        <w:rPr>
          <w:rFonts w:ascii="Times New Roman" w:hAnsi="Times New Roman" w:cs="Times New Roman"/>
          <w:sz w:val="24"/>
          <w:szCs w:val="24"/>
        </w:rPr>
        <w:t xml:space="preserve"> and</w:t>
      </w:r>
      <w:r w:rsidR="00D8632B" w:rsidRPr="00D072C0">
        <w:rPr>
          <w:rFonts w:ascii="Times New Roman" w:hAnsi="Times New Roman" w:cs="Times New Roman"/>
          <w:sz w:val="24"/>
          <w:szCs w:val="24"/>
        </w:rPr>
        <w:t xml:space="preserve"> </w:t>
      </w:r>
      <w:r w:rsidR="000D1784">
        <w:rPr>
          <w:rFonts w:ascii="Times New Roman" w:hAnsi="Times New Roman" w:cs="Times New Roman"/>
          <w:sz w:val="24"/>
          <w:szCs w:val="24"/>
        </w:rPr>
        <w:t>w</w:t>
      </w:r>
      <w:r w:rsidR="00D8632B" w:rsidRPr="00D072C0">
        <w:rPr>
          <w:rFonts w:ascii="Times New Roman" w:hAnsi="Times New Roman" w:cs="Times New Roman"/>
          <w:sz w:val="24"/>
          <w:szCs w:val="24"/>
        </w:rPr>
        <w:t xml:space="preserve">ater delivery systems are </w:t>
      </w:r>
      <w:r w:rsidR="000D1784">
        <w:rPr>
          <w:rFonts w:ascii="Times New Roman" w:hAnsi="Times New Roman" w:cs="Times New Roman"/>
          <w:sz w:val="24"/>
          <w:szCs w:val="24"/>
        </w:rPr>
        <w:t xml:space="preserve">typically </w:t>
      </w:r>
      <w:r w:rsidR="00D8632B" w:rsidRPr="00D072C0">
        <w:rPr>
          <w:rFonts w:ascii="Times New Roman" w:hAnsi="Times New Roman" w:cs="Times New Roman"/>
          <w:sz w:val="24"/>
          <w:szCs w:val="24"/>
        </w:rPr>
        <w:t xml:space="preserve">designed </w:t>
      </w:r>
      <w:r w:rsidR="000D1784">
        <w:rPr>
          <w:rFonts w:ascii="Times New Roman" w:hAnsi="Times New Roman" w:cs="Times New Roman"/>
          <w:sz w:val="24"/>
          <w:szCs w:val="24"/>
        </w:rPr>
        <w:t xml:space="preserve">to accommodate </w:t>
      </w:r>
      <w:r w:rsidR="00D8632B" w:rsidRPr="00D072C0">
        <w:rPr>
          <w:rFonts w:ascii="Times New Roman" w:hAnsi="Times New Roman" w:cs="Times New Roman"/>
          <w:sz w:val="24"/>
          <w:szCs w:val="24"/>
        </w:rPr>
        <w:t>expected peak aggregate needs</w:t>
      </w:r>
      <w:r w:rsidR="000D1784">
        <w:rPr>
          <w:rFonts w:ascii="Times New Roman" w:hAnsi="Times New Roman" w:cs="Times New Roman"/>
          <w:sz w:val="24"/>
          <w:szCs w:val="24"/>
        </w:rPr>
        <w:t>.</w:t>
      </w:r>
      <w:r w:rsidR="00D8632B" w:rsidRPr="00D072C0">
        <w:rPr>
          <w:rFonts w:ascii="Times New Roman" w:hAnsi="Times New Roman" w:cs="Times New Roman"/>
          <w:sz w:val="24"/>
          <w:szCs w:val="24"/>
        </w:rPr>
        <w:t xml:space="preserve">  As such, the marginal cost of delivering water off-peak is largely independent of the volume the individual customer uses.  </w:t>
      </w:r>
      <w:r w:rsidR="00A36B2C">
        <w:rPr>
          <w:rFonts w:ascii="Times New Roman" w:hAnsi="Times New Roman" w:cs="Times New Roman"/>
          <w:sz w:val="24"/>
          <w:szCs w:val="24"/>
        </w:rPr>
        <w:t xml:space="preserve">An additional complexity is that </w:t>
      </w:r>
      <w:r w:rsidR="004E5F13">
        <w:rPr>
          <w:rFonts w:ascii="Times New Roman" w:hAnsi="Times New Roman" w:cs="Times New Roman"/>
          <w:sz w:val="24"/>
          <w:szCs w:val="24"/>
        </w:rPr>
        <w:t>external costs are likely to vary seasonally and be highly dependent on prevailing weather patterns</w:t>
      </w:r>
      <w:r w:rsidR="00A36B2C">
        <w:rPr>
          <w:rFonts w:ascii="Times New Roman" w:hAnsi="Times New Roman" w:cs="Times New Roman"/>
          <w:sz w:val="24"/>
          <w:szCs w:val="24"/>
        </w:rPr>
        <w:t>, making them difficult to accurately incorporate into water prices</w:t>
      </w:r>
      <w:r w:rsidR="004E5F13">
        <w:rPr>
          <w:rFonts w:ascii="Times New Roman" w:hAnsi="Times New Roman" w:cs="Times New Roman"/>
          <w:sz w:val="24"/>
          <w:szCs w:val="24"/>
        </w:rPr>
        <w:t xml:space="preserve">.  From both a water quality and ecological integrity perspective, </w:t>
      </w:r>
      <w:r w:rsidR="00A36B2C">
        <w:rPr>
          <w:rFonts w:ascii="Times New Roman" w:hAnsi="Times New Roman" w:cs="Times New Roman"/>
          <w:sz w:val="24"/>
          <w:szCs w:val="24"/>
        </w:rPr>
        <w:t xml:space="preserve">however, </w:t>
      </w:r>
      <w:r w:rsidR="004E5F13">
        <w:rPr>
          <w:rFonts w:ascii="Times New Roman" w:hAnsi="Times New Roman" w:cs="Times New Roman"/>
          <w:sz w:val="24"/>
          <w:szCs w:val="24"/>
        </w:rPr>
        <w:t xml:space="preserve">the external costs of off-stream water use </w:t>
      </w:r>
      <w:r w:rsidR="005F169E">
        <w:rPr>
          <w:rFonts w:ascii="Times New Roman" w:hAnsi="Times New Roman" w:cs="Times New Roman"/>
          <w:sz w:val="24"/>
          <w:szCs w:val="24"/>
        </w:rPr>
        <w:t xml:space="preserve">are </w:t>
      </w:r>
      <w:r w:rsidR="004E5F13">
        <w:rPr>
          <w:rFonts w:ascii="Times New Roman" w:hAnsi="Times New Roman" w:cs="Times New Roman"/>
          <w:sz w:val="24"/>
          <w:szCs w:val="24"/>
        </w:rPr>
        <w:t>generally non-decreasing with respect to withdrawals</w:t>
      </w:r>
      <w:r w:rsidR="005F169E">
        <w:rPr>
          <w:rFonts w:ascii="Times New Roman" w:hAnsi="Times New Roman" w:cs="Times New Roman"/>
          <w:sz w:val="24"/>
          <w:szCs w:val="24"/>
        </w:rPr>
        <w:t xml:space="preserve"> (</w:t>
      </w:r>
      <w:proofErr w:type="spellStart"/>
      <w:r w:rsidR="005F169E">
        <w:rPr>
          <w:rFonts w:ascii="Times New Roman" w:hAnsi="Times New Roman" w:cs="Times New Roman"/>
          <w:sz w:val="24"/>
          <w:szCs w:val="24"/>
        </w:rPr>
        <w:t>Rosegrant</w:t>
      </w:r>
      <w:proofErr w:type="spellEnd"/>
      <w:r w:rsidR="005F169E">
        <w:rPr>
          <w:rFonts w:ascii="Times New Roman" w:hAnsi="Times New Roman" w:cs="Times New Roman"/>
          <w:sz w:val="24"/>
          <w:szCs w:val="24"/>
        </w:rPr>
        <w:t xml:space="preserve"> et al., 2000</w:t>
      </w:r>
      <w:r w:rsidR="00A36B2C">
        <w:rPr>
          <w:rFonts w:ascii="Times New Roman" w:hAnsi="Times New Roman" w:cs="Times New Roman"/>
          <w:sz w:val="24"/>
          <w:szCs w:val="24"/>
        </w:rPr>
        <w:t xml:space="preserve">; </w:t>
      </w:r>
      <w:proofErr w:type="spellStart"/>
      <w:r w:rsidR="00A36B2C">
        <w:rPr>
          <w:rFonts w:ascii="Times New Roman" w:hAnsi="Times New Roman" w:cs="Times New Roman"/>
          <w:sz w:val="24"/>
          <w:szCs w:val="24"/>
        </w:rPr>
        <w:t>Kanno</w:t>
      </w:r>
      <w:proofErr w:type="spellEnd"/>
      <w:r w:rsidR="00A36B2C">
        <w:rPr>
          <w:rFonts w:ascii="Times New Roman" w:hAnsi="Times New Roman" w:cs="Times New Roman"/>
          <w:sz w:val="24"/>
          <w:szCs w:val="24"/>
        </w:rPr>
        <w:t xml:space="preserve"> and </w:t>
      </w:r>
      <w:proofErr w:type="spellStart"/>
      <w:r w:rsidR="00A36B2C">
        <w:rPr>
          <w:rFonts w:ascii="Times New Roman" w:hAnsi="Times New Roman" w:cs="Times New Roman"/>
          <w:sz w:val="24"/>
          <w:szCs w:val="24"/>
        </w:rPr>
        <w:t>Vokoun</w:t>
      </w:r>
      <w:proofErr w:type="spellEnd"/>
      <w:r w:rsidR="00A36B2C">
        <w:rPr>
          <w:rFonts w:ascii="Times New Roman" w:hAnsi="Times New Roman" w:cs="Times New Roman"/>
          <w:sz w:val="24"/>
          <w:szCs w:val="24"/>
        </w:rPr>
        <w:t>, 2010</w:t>
      </w:r>
      <w:r w:rsidR="005F169E">
        <w:rPr>
          <w:rFonts w:ascii="Times New Roman" w:hAnsi="Times New Roman" w:cs="Times New Roman"/>
          <w:sz w:val="24"/>
          <w:szCs w:val="24"/>
        </w:rPr>
        <w:t>)</w:t>
      </w:r>
      <w:r w:rsidR="004E5F13">
        <w:rPr>
          <w:rFonts w:ascii="Times New Roman" w:hAnsi="Times New Roman" w:cs="Times New Roman"/>
          <w:sz w:val="24"/>
          <w:szCs w:val="24"/>
        </w:rPr>
        <w:t>.</w:t>
      </w:r>
      <w:r w:rsidR="00A36B2C">
        <w:rPr>
          <w:rFonts w:ascii="Times New Roman" w:hAnsi="Times New Roman" w:cs="Times New Roman"/>
          <w:sz w:val="24"/>
          <w:szCs w:val="24"/>
        </w:rPr>
        <w:t xml:space="preserve">  </w:t>
      </w:r>
      <w:r w:rsidR="00A36B2C" w:rsidRPr="00D072C0">
        <w:rPr>
          <w:rFonts w:ascii="Times New Roman" w:hAnsi="Times New Roman" w:cs="Times New Roman"/>
          <w:sz w:val="24"/>
          <w:szCs w:val="24"/>
        </w:rPr>
        <w:t>Efficient pricing</w:t>
      </w:r>
      <w:r w:rsidR="00A36B2C">
        <w:rPr>
          <w:rFonts w:ascii="Times New Roman" w:hAnsi="Times New Roman" w:cs="Times New Roman"/>
          <w:sz w:val="24"/>
          <w:szCs w:val="24"/>
        </w:rPr>
        <w:t xml:space="preserve"> of in-stream externalities</w:t>
      </w:r>
      <w:r w:rsidR="00A36B2C" w:rsidRPr="00D072C0">
        <w:rPr>
          <w:rFonts w:ascii="Times New Roman" w:hAnsi="Times New Roman" w:cs="Times New Roman"/>
          <w:sz w:val="24"/>
          <w:szCs w:val="24"/>
        </w:rPr>
        <w:t xml:space="preserve">, therefore, would </w:t>
      </w:r>
      <w:r w:rsidR="00A36B2C">
        <w:rPr>
          <w:rFonts w:ascii="Times New Roman" w:hAnsi="Times New Roman" w:cs="Times New Roman"/>
          <w:sz w:val="24"/>
          <w:szCs w:val="24"/>
        </w:rPr>
        <w:t>tend to favor increasing block rates.  Nonetheless, the councils should recognize the trade-offs that may arise from the conversion to increasing block rates.</w:t>
      </w:r>
    </w:p>
    <w:p w:rsidR="00987027" w:rsidRDefault="004E5F13" w:rsidP="00ED306F">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87027">
        <w:rPr>
          <w:rFonts w:ascii="Times New Roman" w:hAnsi="Times New Roman" w:cs="Times New Roman"/>
          <w:i/>
          <w:sz w:val="24"/>
          <w:szCs w:val="24"/>
          <w:u w:val="single"/>
        </w:rPr>
        <w:t>Billing Improvements</w:t>
      </w:r>
      <w:r w:rsidR="00987027">
        <w:rPr>
          <w:rFonts w:ascii="Times New Roman" w:hAnsi="Times New Roman" w:cs="Times New Roman"/>
          <w:sz w:val="24"/>
          <w:szCs w:val="24"/>
        </w:rPr>
        <w:t>.</w:t>
      </w:r>
      <w:proofErr w:type="gramEnd"/>
      <w:r w:rsidR="00987027">
        <w:rPr>
          <w:rFonts w:ascii="Times New Roman" w:hAnsi="Times New Roman" w:cs="Times New Roman"/>
          <w:sz w:val="24"/>
          <w:szCs w:val="24"/>
        </w:rPr>
        <w:t xml:space="preserve">  </w:t>
      </w:r>
      <w:r w:rsidR="00452F3F">
        <w:rPr>
          <w:rFonts w:ascii="Times New Roman" w:hAnsi="Times New Roman" w:cs="Times New Roman"/>
          <w:sz w:val="24"/>
          <w:szCs w:val="24"/>
        </w:rPr>
        <w:t xml:space="preserve">Price signals are easily diluted by the myriad fees and complex structures underlying many water bills.  Improving billing information is one of the practices promoted by a council.  There is recent evidence that providing price-related information in residential water bills can increase the price elasticity of water demand by </w:t>
      </w:r>
      <w:r w:rsidR="00B1418A">
        <w:rPr>
          <w:rFonts w:ascii="Times New Roman" w:hAnsi="Times New Roman" w:cs="Times New Roman"/>
          <w:sz w:val="24"/>
          <w:szCs w:val="24"/>
        </w:rPr>
        <w:t xml:space="preserve">as much as </w:t>
      </w:r>
      <w:r w:rsidR="00452F3F">
        <w:rPr>
          <w:rFonts w:ascii="Times New Roman" w:hAnsi="Times New Roman" w:cs="Times New Roman"/>
          <w:sz w:val="24"/>
          <w:szCs w:val="24"/>
        </w:rPr>
        <w:t>30% (</w:t>
      </w:r>
      <w:proofErr w:type="spellStart"/>
      <w:r w:rsidR="00452F3F">
        <w:rPr>
          <w:rFonts w:ascii="Times New Roman" w:hAnsi="Times New Roman" w:cs="Times New Roman"/>
          <w:sz w:val="24"/>
          <w:szCs w:val="24"/>
        </w:rPr>
        <w:t>Gaudin</w:t>
      </w:r>
      <w:proofErr w:type="spellEnd"/>
      <w:r w:rsidR="00452F3F">
        <w:rPr>
          <w:rFonts w:ascii="Times New Roman" w:hAnsi="Times New Roman" w:cs="Times New Roman"/>
          <w:sz w:val="24"/>
          <w:szCs w:val="24"/>
        </w:rPr>
        <w:t>, 2006).  That is, clearly explaining how one’s water bill is affected by water use can be an effective conservation practice in</w:t>
      </w:r>
      <w:r w:rsidR="00147568">
        <w:rPr>
          <w:rFonts w:ascii="Times New Roman" w:hAnsi="Times New Roman" w:cs="Times New Roman"/>
          <w:sz w:val="24"/>
          <w:szCs w:val="24"/>
        </w:rPr>
        <w:t xml:space="preserve"> </w:t>
      </w:r>
      <w:r w:rsidR="00452F3F">
        <w:rPr>
          <w:rFonts w:ascii="Times New Roman" w:hAnsi="Times New Roman" w:cs="Times New Roman"/>
          <w:sz w:val="24"/>
          <w:szCs w:val="24"/>
        </w:rPr>
        <w:t>and</w:t>
      </w:r>
      <w:r w:rsidR="00147568">
        <w:rPr>
          <w:rFonts w:ascii="Times New Roman" w:hAnsi="Times New Roman" w:cs="Times New Roman"/>
          <w:sz w:val="24"/>
          <w:szCs w:val="24"/>
        </w:rPr>
        <w:t xml:space="preserve"> </w:t>
      </w:r>
      <w:r w:rsidR="00452F3F">
        <w:rPr>
          <w:rFonts w:ascii="Times New Roman" w:hAnsi="Times New Roman" w:cs="Times New Roman"/>
          <w:sz w:val="24"/>
          <w:szCs w:val="24"/>
        </w:rPr>
        <w:t>of</w:t>
      </w:r>
      <w:r w:rsidR="00147568">
        <w:rPr>
          <w:rFonts w:ascii="Times New Roman" w:hAnsi="Times New Roman" w:cs="Times New Roman"/>
          <w:sz w:val="24"/>
          <w:szCs w:val="24"/>
        </w:rPr>
        <w:t xml:space="preserve"> </w:t>
      </w:r>
      <w:proofErr w:type="gramStart"/>
      <w:r w:rsidR="00452F3F">
        <w:rPr>
          <w:rFonts w:ascii="Times New Roman" w:hAnsi="Times New Roman" w:cs="Times New Roman"/>
          <w:sz w:val="24"/>
          <w:szCs w:val="24"/>
        </w:rPr>
        <w:t>itself</w:t>
      </w:r>
      <w:proofErr w:type="gramEnd"/>
      <w:r w:rsidR="00452F3F">
        <w:rPr>
          <w:rFonts w:ascii="Times New Roman" w:hAnsi="Times New Roman" w:cs="Times New Roman"/>
          <w:sz w:val="24"/>
          <w:szCs w:val="24"/>
        </w:rPr>
        <w:t xml:space="preserve">.  </w:t>
      </w:r>
    </w:p>
    <w:p w:rsidR="00901B9D" w:rsidRDefault="00987027" w:rsidP="00ED306F">
      <w:pPr>
        <w:ind w:firstLine="720"/>
        <w:rPr>
          <w:rFonts w:ascii="Times New Roman" w:hAnsi="Times New Roman" w:cs="Times New Roman"/>
          <w:sz w:val="24"/>
          <w:szCs w:val="24"/>
        </w:rPr>
      </w:pPr>
      <w:proofErr w:type="gramStart"/>
      <w:r>
        <w:rPr>
          <w:rFonts w:ascii="Times New Roman" w:hAnsi="Times New Roman" w:cs="Times New Roman"/>
          <w:i/>
          <w:sz w:val="24"/>
          <w:szCs w:val="24"/>
          <w:u w:val="single"/>
        </w:rPr>
        <w:t>Residential Outdoor Use Restrictions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DA60FB">
        <w:rPr>
          <w:rFonts w:ascii="Times New Roman" w:hAnsi="Times New Roman" w:cs="Times New Roman"/>
          <w:sz w:val="24"/>
          <w:szCs w:val="24"/>
        </w:rPr>
        <w:t>Many commercial and residential units across the U</w:t>
      </w:r>
      <w:r w:rsidR="00147568">
        <w:rPr>
          <w:rFonts w:ascii="Times New Roman" w:hAnsi="Times New Roman" w:cs="Times New Roman"/>
          <w:sz w:val="24"/>
          <w:szCs w:val="24"/>
        </w:rPr>
        <w:t>.</w:t>
      </w:r>
      <w:r w:rsidR="00DA60FB">
        <w:rPr>
          <w:rFonts w:ascii="Times New Roman" w:hAnsi="Times New Roman" w:cs="Times New Roman"/>
          <w:sz w:val="24"/>
          <w:szCs w:val="24"/>
        </w:rPr>
        <w:t>S</w:t>
      </w:r>
      <w:r w:rsidR="00147568">
        <w:rPr>
          <w:rFonts w:ascii="Times New Roman" w:hAnsi="Times New Roman" w:cs="Times New Roman"/>
          <w:sz w:val="24"/>
          <w:szCs w:val="24"/>
        </w:rPr>
        <w:t>.</w:t>
      </w:r>
      <w:r w:rsidR="00DA60FB">
        <w:rPr>
          <w:rFonts w:ascii="Times New Roman" w:hAnsi="Times New Roman" w:cs="Times New Roman"/>
          <w:sz w:val="24"/>
          <w:szCs w:val="24"/>
        </w:rPr>
        <w:t xml:space="preserve"> have landscaped areas that are maintained through irrigation systems.  Those systems deliver water for plants to use.  There is an important distinction, however, to be made between the amount of water one applies to a landscaped area (or agricultural field) and the amount of water a plant actually utilizes.  The total amount of water </w:t>
      </w:r>
      <w:r w:rsidR="00FD032D">
        <w:rPr>
          <w:rFonts w:ascii="Times New Roman" w:hAnsi="Times New Roman" w:cs="Times New Roman"/>
          <w:sz w:val="24"/>
          <w:szCs w:val="24"/>
        </w:rPr>
        <w:t>delivered</w:t>
      </w:r>
      <w:r w:rsidR="00DA60FB">
        <w:rPr>
          <w:rFonts w:ascii="Times New Roman" w:hAnsi="Times New Roman" w:cs="Times New Roman"/>
          <w:sz w:val="24"/>
          <w:szCs w:val="24"/>
        </w:rPr>
        <w:t xml:space="preserve"> to a lawn, garden</w:t>
      </w:r>
      <w:r w:rsidR="00147568">
        <w:rPr>
          <w:rFonts w:ascii="Times New Roman" w:hAnsi="Times New Roman" w:cs="Times New Roman"/>
          <w:sz w:val="24"/>
          <w:szCs w:val="24"/>
        </w:rPr>
        <w:t>,</w:t>
      </w:r>
      <w:r w:rsidR="00DA60FB">
        <w:rPr>
          <w:rFonts w:ascii="Times New Roman" w:hAnsi="Times New Roman" w:cs="Times New Roman"/>
          <w:sz w:val="24"/>
          <w:szCs w:val="24"/>
        </w:rPr>
        <w:t xml:space="preserve"> or field is known as applied water.  The proportion of that water that is available to the plant is known as effective water.  The irrigation efficiency of a system is the ratio of effective water to applied water</w:t>
      </w:r>
      <w:r w:rsidR="00FD032D">
        <w:rPr>
          <w:rFonts w:ascii="Times New Roman" w:hAnsi="Times New Roman" w:cs="Times New Roman"/>
          <w:sz w:val="24"/>
          <w:szCs w:val="24"/>
        </w:rPr>
        <w:t xml:space="preserve"> (Howell, 200</w:t>
      </w:r>
      <w:r w:rsidR="00D24297">
        <w:rPr>
          <w:rFonts w:ascii="Times New Roman" w:hAnsi="Times New Roman" w:cs="Times New Roman"/>
          <w:sz w:val="24"/>
          <w:szCs w:val="24"/>
        </w:rPr>
        <w:t>3</w:t>
      </w:r>
      <w:r w:rsidR="00FD032D">
        <w:rPr>
          <w:rFonts w:ascii="Times New Roman" w:hAnsi="Times New Roman" w:cs="Times New Roman"/>
          <w:sz w:val="24"/>
          <w:szCs w:val="24"/>
        </w:rPr>
        <w:t>)</w:t>
      </w:r>
      <w:r w:rsidR="00DA60FB">
        <w:rPr>
          <w:rFonts w:ascii="Times New Roman" w:hAnsi="Times New Roman" w:cs="Times New Roman"/>
          <w:sz w:val="24"/>
          <w:szCs w:val="24"/>
        </w:rPr>
        <w:t xml:space="preserve">.  </w:t>
      </w:r>
      <w:r w:rsidR="008C62A0">
        <w:rPr>
          <w:rFonts w:ascii="Times New Roman" w:hAnsi="Times New Roman" w:cs="Times New Roman"/>
          <w:sz w:val="24"/>
          <w:szCs w:val="24"/>
        </w:rPr>
        <w:t>There is an abundance of empirical evidence concluding that irrigation efficiency is higher during the night than during the daytime (</w:t>
      </w:r>
      <w:proofErr w:type="spellStart"/>
      <w:r w:rsidR="008C62A0">
        <w:rPr>
          <w:rFonts w:ascii="Times New Roman" w:hAnsi="Times New Roman" w:cs="Times New Roman"/>
          <w:sz w:val="24"/>
          <w:szCs w:val="24"/>
        </w:rPr>
        <w:t>Cavero</w:t>
      </w:r>
      <w:proofErr w:type="spellEnd"/>
      <w:r w:rsidR="008C62A0">
        <w:rPr>
          <w:rFonts w:ascii="Times New Roman" w:hAnsi="Times New Roman" w:cs="Times New Roman"/>
          <w:sz w:val="24"/>
          <w:szCs w:val="24"/>
        </w:rPr>
        <w:t xml:space="preserve"> et al., 2008; </w:t>
      </w:r>
      <w:proofErr w:type="spellStart"/>
      <w:r w:rsidR="0091519C">
        <w:rPr>
          <w:rFonts w:ascii="Times New Roman" w:hAnsi="Times New Roman" w:cs="Times New Roman"/>
          <w:sz w:val="24"/>
          <w:szCs w:val="24"/>
        </w:rPr>
        <w:t>Yacoubi</w:t>
      </w:r>
      <w:proofErr w:type="spellEnd"/>
      <w:r w:rsidR="0091519C">
        <w:rPr>
          <w:rFonts w:ascii="Times New Roman" w:hAnsi="Times New Roman" w:cs="Times New Roman"/>
          <w:sz w:val="24"/>
          <w:szCs w:val="24"/>
        </w:rPr>
        <w:t xml:space="preserve"> et al.</w:t>
      </w:r>
      <w:r w:rsidR="00382816">
        <w:rPr>
          <w:rFonts w:ascii="Times New Roman" w:hAnsi="Times New Roman" w:cs="Times New Roman"/>
          <w:sz w:val="24"/>
          <w:szCs w:val="24"/>
        </w:rPr>
        <w:t>,</w:t>
      </w:r>
      <w:r w:rsidR="0091519C">
        <w:rPr>
          <w:rFonts w:ascii="Times New Roman" w:hAnsi="Times New Roman" w:cs="Times New Roman"/>
          <w:sz w:val="24"/>
          <w:szCs w:val="24"/>
        </w:rPr>
        <w:t xml:space="preserve"> 2010; Martinez-Cob et al</w:t>
      </w:r>
      <w:r w:rsidR="00382816">
        <w:rPr>
          <w:rFonts w:ascii="Times New Roman" w:hAnsi="Times New Roman" w:cs="Times New Roman"/>
          <w:sz w:val="24"/>
          <w:szCs w:val="24"/>
        </w:rPr>
        <w:t>.</w:t>
      </w:r>
      <w:r w:rsidR="0091519C">
        <w:rPr>
          <w:rFonts w:ascii="Times New Roman" w:hAnsi="Times New Roman" w:cs="Times New Roman"/>
          <w:sz w:val="24"/>
          <w:szCs w:val="24"/>
        </w:rPr>
        <w:t xml:space="preserve">, 2008; </w:t>
      </w:r>
      <w:proofErr w:type="spellStart"/>
      <w:r w:rsidR="0091519C">
        <w:rPr>
          <w:rFonts w:ascii="Times New Roman" w:hAnsi="Times New Roman" w:cs="Times New Roman"/>
          <w:sz w:val="24"/>
          <w:szCs w:val="24"/>
        </w:rPr>
        <w:t>Playan</w:t>
      </w:r>
      <w:proofErr w:type="spellEnd"/>
      <w:r w:rsidR="0091519C">
        <w:rPr>
          <w:rFonts w:ascii="Times New Roman" w:hAnsi="Times New Roman" w:cs="Times New Roman"/>
          <w:sz w:val="24"/>
          <w:szCs w:val="24"/>
        </w:rPr>
        <w:t xml:space="preserve"> et al., 2005; </w:t>
      </w:r>
      <w:proofErr w:type="spellStart"/>
      <w:r w:rsidR="009E69A1">
        <w:rPr>
          <w:rFonts w:ascii="Times New Roman" w:hAnsi="Times New Roman" w:cs="Times New Roman"/>
          <w:sz w:val="24"/>
          <w:szCs w:val="24"/>
        </w:rPr>
        <w:t>Latif</w:t>
      </w:r>
      <w:proofErr w:type="spellEnd"/>
      <w:r w:rsidR="009E69A1">
        <w:rPr>
          <w:rFonts w:ascii="Times New Roman" w:hAnsi="Times New Roman" w:cs="Times New Roman"/>
          <w:sz w:val="24"/>
          <w:szCs w:val="24"/>
        </w:rPr>
        <w:t xml:space="preserve"> and Ahmad, 2008)</w:t>
      </w:r>
      <w:r w:rsidR="008C62A0">
        <w:rPr>
          <w:rFonts w:ascii="Times New Roman" w:hAnsi="Times New Roman" w:cs="Times New Roman"/>
          <w:sz w:val="24"/>
          <w:szCs w:val="24"/>
        </w:rPr>
        <w:t>.</w:t>
      </w:r>
      <w:r w:rsidR="004D0E73">
        <w:rPr>
          <w:rFonts w:ascii="Times New Roman" w:hAnsi="Times New Roman" w:cs="Times New Roman"/>
          <w:sz w:val="24"/>
          <w:szCs w:val="24"/>
        </w:rPr>
        <w:t xml:space="preserve">  As such, property owners can provide the water needs of a landscape with less applied water during the night than during the day</w:t>
      </w:r>
      <w:r w:rsidR="00901B9D">
        <w:rPr>
          <w:rFonts w:ascii="Times New Roman" w:hAnsi="Times New Roman" w:cs="Times New Roman"/>
          <w:sz w:val="24"/>
          <w:szCs w:val="24"/>
        </w:rPr>
        <w:t xml:space="preserve">, lowering their outdoor water costs.  </w:t>
      </w:r>
    </w:p>
    <w:p w:rsidR="00987027" w:rsidRDefault="00901B9D" w:rsidP="00ED306F">
      <w:pPr>
        <w:ind w:firstLine="720"/>
        <w:rPr>
          <w:rFonts w:ascii="Times New Roman" w:hAnsi="Times New Roman" w:cs="Times New Roman"/>
          <w:sz w:val="24"/>
          <w:szCs w:val="24"/>
        </w:rPr>
      </w:pPr>
      <w:r>
        <w:rPr>
          <w:rFonts w:ascii="Times New Roman" w:hAnsi="Times New Roman" w:cs="Times New Roman"/>
          <w:sz w:val="24"/>
          <w:szCs w:val="24"/>
        </w:rPr>
        <w:t xml:space="preserve">Several of the councils have recommended restricting outdoor landscape watering to the hours between 4 pm and 10 am.  This will prevent watering during the time of lowest irrigation efficiency, which should, ostensibly, lead to lower water use.  One of the attractive features of this restriction is that it is relatively easy to monitor and enforce.  However, the realization of reduced water use will depend not only on compliance with the time-of-day restrictions, but also on adjustments to the duration of watering by property </w:t>
      </w:r>
      <w:r w:rsidR="004737EB">
        <w:rPr>
          <w:rFonts w:ascii="Times New Roman" w:hAnsi="Times New Roman" w:cs="Times New Roman"/>
          <w:sz w:val="24"/>
          <w:szCs w:val="24"/>
        </w:rPr>
        <w:t>owners.  That is, if a sprinkler system is set to run for 30 minutes in the day and 30 minutes in the night, the same amount of water will be applied, even though more of the nighttime water will be available to the plants.</w:t>
      </w:r>
      <w:r w:rsidR="00946902">
        <w:rPr>
          <w:rFonts w:ascii="Times New Roman" w:hAnsi="Times New Roman" w:cs="Times New Roman"/>
          <w:sz w:val="24"/>
          <w:szCs w:val="24"/>
        </w:rPr>
        <w:t xml:space="preserve">  It is unclear whether or not property owners will reduce watering duration in response to higher irrigation efficiencies.  It is quite possible that property owners would eventually adjust watering duration and/or watering frequency based on the condition of the irrigated landscape</w:t>
      </w:r>
      <w:r w:rsidR="001C7992">
        <w:rPr>
          <w:rFonts w:ascii="Times New Roman" w:hAnsi="Times New Roman" w:cs="Times New Roman"/>
          <w:sz w:val="24"/>
          <w:szCs w:val="24"/>
        </w:rPr>
        <w:t>, but</w:t>
      </w:r>
      <w:r w:rsidR="00946902">
        <w:rPr>
          <w:rFonts w:ascii="Times New Roman" w:hAnsi="Times New Roman" w:cs="Times New Roman"/>
          <w:sz w:val="24"/>
          <w:szCs w:val="24"/>
        </w:rPr>
        <w:t xml:space="preserve"> </w:t>
      </w:r>
      <w:r w:rsidR="001C7992">
        <w:rPr>
          <w:rFonts w:ascii="Times New Roman" w:hAnsi="Times New Roman" w:cs="Times New Roman"/>
          <w:sz w:val="24"/>
          <w:szCs w:val="24"/>
        </w:rPr>
        <w:t>t</w:t>
      </w:r>
      <w:r w:rsidR="00946902">
        <w:rPr>
          <w:rFonts w:ascii="Times New Roman" w:hAnsi="Times New Roman" w:cs="Times New Roman"/>
          <w:sz w:val="24"/>
          <w:szCs w:val="24"/>
        </w:rPr>
        <w:t xml:space="preserve">here is conflicting evidence about </w:t>
      </w:r>
      <w:r w:rsidR="00AE1026">
        <w:rPr>
          <w:rFonts w:ascii="Times New Roman" w:hAnsi="Times New Roman" w:cs="Times New Roman"/>
          <w:sz w:val="24"/>
          <w:szCs w:val="24"/>
        </w:rPr>
        <w:t xml:space="preserve">whether households apply water in a manner consistent with the needs of the </w:t>
      </w:r>
      <w:r w:rsidR="00946902">
        <w:rPr>
          <w:rFonts w:ascii="Times New Roman" w:hAnsi="Times New Roman" w:cs="Times New Roman"/>
          <w:sz w:val="24"/>
          <w:szCs w:val="24"/>
        </w:rPr>
        <w:t xml:space="preserve">landscape </w:t>
      </w:r>
      <w:r w:rsidR="00AE1026">
        <w:rPr>
          <w:rFonts w:ascii="Times New Roman" w:hAnsi="Times New Roman" w:cs="Times New Roman"/>
          <w:sz w:val="24"/>
          <w:szCs w:val="24"/>
        </w:rPr>
        <w:t xml:space="preserve">plants (Kiefer and </w:t>
      </w:r>
      <w:proofErr w:type="spellStart"/>
      <w:r w:rsidR="00AE1026">
        <w:rPr>
          <w:rFonts w:ascii="Times New Roman" w:hAnsi="Times New Roman" w:cs="Times New Roman"/>
          <w:sz w:val="24"/>
          <w:szCs w:val="24"/>
        </w:rPr>
        <w:t>Dziegielewski</w:t>
      </w:r>
      <w:proofErr w:type="spellEnd"/>
      <w:r w:rsidR="00AE1026">
        <w:rPr>
          <w:rFonts w:ascii="Times New Roman" w:hAnsi="Times New Roman" w:cs="Times New Roman"/>
          <w:sz w:val="24"/>
          <w:szCs w:val="24"/>
        </w:rPr>
        <w:t>, 1991; Baum et al., 2003).  In either case, it would be wise to couple time-of-day restrictions with a</w:t>
      </w:r>
      <w:r w:rsidR="00382816">
        <w:rPr>
          <w:rFonts w:ascii="Times New Roman" w:hAnsi="Times New Roman" w:cs="Times New Roman"/>
          <w:sz w:val="24"/>
          <w:szCs w:val="24"/>
        </w:rPr>
        <w:t>n</w:t>
      </w:r>
      <w:r w:rsidR="00AE1026">
        <w:rPr>
          <w:rFonts w:ascii="Times New Roman" w:hAnsi="Times New Roman" w:cs="Times New Roman"/>
          <w:sz w:val="24"/>
          <w:szCs w:val="24"/>
        </w:rPr>
        <w:t xml:space="preserve"> education campaign to make</w:t>
      </w:r>
      <w:r w:rsidR="00382816">
        <w:rPr>
          <w:rFonts w:ascii="Times New Roman" w:hAnsi="Times New Roman" w:cs="Times New Roman"/>
          <w:sz w:val="24"/>
          <w:szCs w:val="24"/>
        </w:rPr>
        <w:t xml:space="preserve"> the</w:t>
      </w:r>
      <w:r w:rsidR="00AE1026">
        <w:rPr>
          <w:rFonts w:ascii="Times New Roman" w:hAnsi="Times New Roman" w:cs="Times New Roman"/>
          <w:sz w:val="24"/>
          <w:szCs w:val="24"/>
        </w:rPr>
        <w:t xml:space="preserve"> public aware of the change in irrigation efficiency when </w:t>
      </w:r>
      <w:r w:rsidR="00946902">
        <w:rPr>
          <w:rFonts w:ascii="Times New Roman" w:hAnsi="Times New Roman" w:cs="Times New Roman"/>
          <w:sz w:val="24"/>
          <w:szCs w:val="24"/>
        </w:rPr>
        <w:t xml:space="preserve">watering </w:t>
      </w:r>
      <w:r w:rsidR="00AE1026">
        <w:rPr>
          <w:rFonts w:ascii="Times New Roman" w:hAnsi="Times New Roman" w:cs="Times New Roman"/>
          <w:sz w:val="24"/>
          <w:szCs w:val="24"/>
        </w:rPr>
        <w:t xml:space="preserve">at night.  </w:t>
      </w:r>
    </w:p>
    <w:p w:rsidR="007C3912" w:rsidRDefault="00E01600" w:rsidP="00ED306F">
      <w:pPr>
        <w:ind w:firstLine="720"/>
        <w:rPr>
          <w:rFonts w:ascii="Times New Roman" w:hAnsi="Times New Roman" w:cs="Times New Roman"/>
          <w:sz w:val="24"/>
          <w:szCs w:val="24"/>
        </w:rPr>
      </w:pPr>
      <w:r>
        <w:rPr>
          <w:rFonts w:ascii="Times New Roman" w:hAnsi="Times New Roman" w:cs="Times New Roman"/>
          <w:sz w:val="24"/>
          <w:szCs w:val="24"/>
        </w:rPr>
        <w:t>Several councils also recommend promoting the use of native species for landscaping.  The rationale behind this is that, since they evolved under local climatic conditions, they are likely to require less water.</w:t>
      </w:r>
      <w:r w:rsidR="007C3912">
        <w:rPr>
          <w:rFonts w:ascii="Times New Roman" w:hAnsi="Times New Roman" w:cs="Times New Roman"/>
          <w:sz w:val="24"/>
          <w:szCs w:val="24"/>
        </w:rPr>
        <w:t xml:space="preserve">  The accuracy of this assumption depends on </w:t>
      </w:r>
      <w:r w:rsidR="00382816">
        <w:rPr>
          <w:rFonts w:ascii="Times New Roman" w:hAnsi="Times New Roman" w:cs="Times New Roman"/>
          <w:sz w:val="24"/>
          <w:szCs w:val="24"/>
        </w:rPr>
        <w:t xml:space="preserve">the </w:t>
      </w:r>
      <w:r w:rsidR="007C3912">
        <w:rPr>
          <w:rFonts w:ascii="Times New Roman" w:hAnsi="Times New Roman" w:cs="Times New Roman"/>
          <w:sz w:val="24"/>
          <w:szCs w:val="24"/>
        </w:rPr>
        <w:t xml:space="preserve">plant.  But, again, even if the plant requires less water, property owners may fail to apply water based on the actual needs of the plant.  </w:t>
      </w:r>
    </w:p>
    <w:p w:rsidR="00055CCB" w:rsidRDefault="001C7992" w:rsidP="00ED306F">
      <w:pPr>
        <w:ind w:firstLine="720"/>
        <w:rPr>
          <w:rFonts w:ascii="Times New Roman" w:hAnsi="Times New Roman" w:cs="Times New Roman"/>
          <w:sz w:val="24"/>
          <w:szCs w:val="24"/>
        </w:rPr>
      </w:pPr>
      <w:proofErr w:type="gramStart"/>
      <w:r>
        <w:rPr>
          <w:rFonts w:ascii="Times New Roman" w:hAnsi="Times New Roman" w:cs="Times New Roman"/>
          <w:i/>
          <w:sz w:val="24"/>
          <w:szCs w:val="24"/>
          <w:u w:val="single"/>
        </w:rPr>
        <w:t>Agricultural</w:t>
      </w:r>
      <w:r w:rsidR="002305F3">
        <w:rPr>
          <w:rFonts w:ascii="Times New Roman" w:hAnsi="Times New Roman" w:cs="Times New Roman"/>
          <w:i/>
          <w:sz w:val="24"/>
          <w:szCs w:val="24"/>
          <w:u w:val="single"/>
        </w:rPr>
        <w:t xml:space="preserve"> Use</w:t>
      </w:r>
      <w:r>
        <w:rPr>
          <w:rFonts w:ascii="Times New Roman" w:hAnsi="Times New Roman" w:cs="Times New Roman"/>
          <w:sz w:val="24"/>
          <w:szCs w:val="24"/>
        </w:rPr>
        <w:t>.</w:t>
      </w:r>
      <w:proofErr w:type="gramEnd"/>
      <w:r>
        <w:rPr>
          <w:rFonts w:ascii="Times New Roman" w:hAnsi="Times New Roman" w:cs="Times New Roman"/>
          <w:sz w:val="24"/>
          <w:szCs w:val="24"/>
        </w:rPr>
        <w:t xml:space="preserve">  The southern half of Georgia is where the majority of the state’s permits for agricultural irrigation withdrawals are located.  </w:t>
      </w:r>
      <w:r w:rsidR="002305F3">
        <w:rPr>
          <w:rFonts w:ascii="Times New Roman" w:hAnsi="Times New Roman" w:cs="Times New Roman"/>
          <w:sz w:val="24"/>
          <w:szCs w:val="24"/>
        </w:rPr>
        <w:t xml:space="preserve">One of the councils has recommended all new irrigation systems for agriculture have greater than 80% irrigation efficiency by 2012, and all existing systems be engineered to achieve the same goal by 2020.  While this seems like an obvious way to reduce irrigation withdrawals, under certain circumstances, increasing irrigation efficiency can lead to the counter-intuitive result of increased water withdrawals.  </w:t>
      </w:r>
      <w:r w:rsidR="00A11C15">
        <w:rPr>
          <w:rFonts w:ascii="Times New Roman" w:hAnsi="Times New Roman" w:cs="Times New Roman"/>
          <w:sz w:val="24"/>
          <w:szCs w:val="24"/>
        </w:rPr>
        <w:t xml:space="preserve">As </w:t>
      </w:r>
      <w:proofErr w:type="spellStart"/>
      <w:r w:rsidR="00A11C15">
        <w:rPr>
          <w:rFonts w:ascii="Times New Roman" w:hAnsi="Times New Roman" w:cs="Times New Roman"/>
          <w:sz w:val="24"/>
          <w:szCs w:val="24"/>
        </w:rPr>
        <w:t>Boggess</w:t>
      </w:r>
      <w:proofErr w:type="spellEnd"/>
      <w:r w:rsidR="00A11C15">
        <w:rPr>
          <w:rFonts w:ascii="Times New Roman" w:hAnsi="Times New Roman" w:cs="Times New Roman"/>
          <w:sz w:val="24"/>
          <w:szCs w:val="24"/>
        </w:rPr>
        <w:t xml:space="preserve">, </w:t>
      </w:r>
      <w:proofErr w:type="spellStart"/>
      <w:r w:rsidR="00A11C15">
        <w:rPr>
          <w:rFonts w:ascii="Times New Roman" w:hAnsi="Times New Roman" w:cs="Times New Roman"/>
          <w:sz w:val="24"/>
          <w:szCs w:val="24"/>
        </w:rPr>
        <w:t>Lacewell</w:t>
      </w:r>
      <w:proofErr w:type="spellEnd"/>
      <w:r w:rsidR="00A11C15">
        <w:rPr>
          <w:rFonts w:ascii="Times New Roman" w:hAnsi="Times New Roman" w:cs="Times New Roman"/>
          <w:sz w:val="24"/>
          <w:szCs w:val="24"/>
        </w:rPr>
        <w:t xml:space="preserve">, and </w:t>
      </w:r>
      <w:proofErr w:type="spellStart"/>
      <w:r w:rsidR="00A11C15">
        <w:rPr>
          <w:rFonts w:ascii="Times New Roman" w:hAnsi="Times New Roman" w:cs="Times New Roman"/>
          <w:sz w:val="24"/>
          <w:szCs w:val="24"/>
        </w:rPr>
        <w:t>Zilberman</w:t>
      </w:r>
      <w:proofErr w:type="spellEnd"/>
      <w:r w:rsidR="00A11C15">
        <w:rPr>
          <w:rFonts w:ascii="Times New Roman" w:hAnsi="Times New Roman" w:cs="Times New Roman"/>
          <w:sz w:val="24"/>
          <w:szCs w:val="24"/>
        </w:rPr>
        <w:t xml:space="preserve"> (1993) </w:t>
      </w:r>
      <w:proofErr w:type="gramStart"/>
      <w:r w:rsidR="00A11C15">
        <w:rPr>
          <w:rFonts w:ascii="Times New Roman" w:hAnsi="Times New Roman" w:cs="Times New Roman"/>
          <w:sz w:val="24"/>
          <w:szCs w:val="24"/>
        </w:rPr>
        <w:t>explain ,</w:t>
      </w:r>
      <w:proofErr w:type="gramEnd"/>
      <w:r w:rsidR="00A11C15">
        <w:rPr>
          <w:rFonts w:ascii="Times New Roman" w:hAnsi="Times New Roman" w:cs="Times New Roman"/>
          <w:sz w:val="24"/>
          <w:szCs w:val="24"/>
        </w:rPr>
        <w:t xml:space="preserve"> under profit maximization, farmers will apply water up to the point where the marginal cost of applied water equals the marginal benefit (value of the marginal product of applied water).  Because crop yield depends on the amount of effective water, the value of the marginal product of applied water (VMPA) will be a function of irrigation efficiency.  As irrigation efficiency increases</w:t>
      </w:r>
      <w:r w:rsidR="00C74837">
        <w:rPr>
          <w:rFonts w:ascii="Times New Roman" w:hAnsi="Times New Roman" w:cs="Times New Roman"/>
          <w:sz w:val="24"/>
          <w:szCs w:val="24"/>
        </w:rPr>
        <w:t xml:space="preserve"> from low to high</w:t>
      </w:r>
      <w:r w:rsidR="00A11C15">
        <w:rPr>
          <w:rFonts w:ascii="Times New Roman" w:hAnsi="Times New Roman" w:cs="Times New Roman"/>
          <w:sz w:val="24"/>
          <w:szCs w:val="24"/>
        </w:rPr>
        <w:t>, the VMPA shifts upward</w:t>
      </w:r>
      <w:r w:rsidR="004C6C22">
        <w:rPr>
          <w:rFonts w:ascii="Times New Roman" w:hAnsi="Times New Roman" w:cs="Times New Roman"/>
          <w:sz w:val="24"/>
          <w:szCs w:val="24"/>
        </w:rPr>
        <w:t xml:space="preserve">, as in Figure 4.  </w:t>
      </w:r>
      <w:r w:rsidR="00C74837">
        <w:rPr>
          <w:rFonts w:ascii="Times New Roman" w:hAnsi="Times New Roman" w:cs="Times New Roman"/>
          <w:sz w:val="24"/>
          <w:szCs w:val="24"/>
        </w:rPr>
        <w:t xml:space="preserve">There is a </w:t>
      </w:r>
      <w:r w:rsidR="00055CCB">
        <w:rPr>
          <w:rFonts w:ascii="Times New Roman" w:hAnsi="Times New Roman" w:cs="Times New Roman"/>
          <w:sz w:val="24"/>
          <w:szCs w:val="24"/>
        </w:rPr>
        <w:t xml:space="preserve">location-, crop-dependent </w:t>
      </w:r>
      <w:r w:rsidR="00C74837">
        <w:rPr>
          <w:rFonts w:ascii="Times New Roman" w:hAnsi="Times New Roman" w:cs="Times New Roman"/>
          <w:sz w:val="24"/>
          <w:szCs w:val="24"/>
        </w:rPr>
        <w:t xml:space="preserve">threshold price for applied water above which changing to the higher irrigation efficiency technology will </w:t>
      </w:r>
      <w:r w:rsidR="00010259">
        <w:rPr>
          <w:rFonts w:ascii="Times New Roman" w:hAnsi="Times New Roman" w:cs="Times New Roman"/>
          <w:sz w:val="24"/>
          <w:szCs w:val="24"/>
        </w:rPr>
        <w:t xml:space="preserve">actually </w:t>
      </w:r>
      <w:r w:rsidR="00C74837">
        <w:rPr>
          <w:rFonts w:ascii="Times New Roman" w:hAnsi="Times New Roman" w:cs="Times New Roman"/>
          <w:sz w:val="24"/>
          <w:szCs w:val="24"/>
        </w:rPr>
        <w:t>increase the amount of a</w:t>
      </w:r>
      <w:r w:rsidR="00520069">
        <w:rPr>
          <w:rFonts w:ascii="Times New Roman" w:hAnsi="Times New Roman" w:cs="Times New Roman"/>
          <w:sz w:val="24"/>
          <w:szCs w:val="24"/>
        </w:rPr>
        <w:t xml:space="preserve">pplied water.  </w:t>
      </w:r>
      <w:r w:rsidR="00010259">
        <w:rPr>
          <w:rFonts w:ascii="Times New Roman" w:hAnsi="Times New Roman" w:cs="Times New Roman"/>
          <w:sz w:val="24"/>
          <w:szCs w:val="24"/>
        </w:rPr>
        <w:t>Similarly, higher irrigation efficiency could lead farmers to switch to more water-intensive crops, leading to increases in total water use.</w:t>
      </w:r>
    </w:p>
    <w:p w:rsidR="00010259" w:rsidRDefault="00520069" w:rsidP="00ED306F">
      <w:pPr>
        <w:ind w:firstLine="720"/>
        <w:rPr>
          <w:rFonts w:ascii="Times New Roman" w:hAnsi="Times New Roman" w:cs="Times New Roman"/>
          <w:sz w:val="24"/>
          <w:szCs w:val="24"/>
        </w:rPr>
      </w:pPr>
      <w:r>
        <w:rPr>
          <w:rFonts w:ascii="Times New Roman" w:hAnsi="Times New Roman" w:cs="Times New Roman"/>
          <w:sz w:val="24"/>
          <w:szCs w:val="24"/>
        </w:rPr>
        <w:t xml:space="preserve">In Georgia, agricultural water use does not currently carry a volumetric charge.  The cost of applied water to agricultural producers is simply the energy cost associated with </w:t>
      </w:r>
      <w:r w:rsidR="00010259">
        <w:rPr>
          <w:rFonts w:ascii="Times New Roman" w:hAnsi="Times New Roman" w:cs="Times New Roman"/>
          <w:sz w:val="24"/>
          <w:szCs w:val="24"/>
        </w:rPr>
        <w:t xml:space="preserve">the </w:t>
      </w:r>
      <w:r>
        <w:rPr>
          <w:rFonts w:ascii="Times New Roman" w:hAnsi="Times New Roman" w:cs="Times New Roman"/>
          <w:sz w:val="24"/>
          <w:szCs w:val="24"/>
        </w:rPr>
        <w:t>conveyance of water</w:t>
      </w:r>
      <w:r w:rsidR="00055CCB">
        <w:rPr>
          <w:rFonts w:ascii="Times New Roman" w:hAnsi="Times New Roman" w:cs="Times New Roman"/>
          <w:sz w:val="24"/>
          <w:szCs w:val="24"/>
        </w:rPr>
        <w:t xml:space="preserve"> from the source to the field, which average</w:t>
      </w:r>
      <w:r w:rsidR="00010259">
        <w:rPr>
          <w:rFonts w:ascii="Times New Roman" w:hAnsi="Times New Roman" w:cs="Times New Roman"/>
          <w:sz w:val="24"/>
          <w:szCs w:val="24"/>
        </w:rPr>
        <w:t>s</w:t>
      </w:r>
      <w:r w:rsidR="00055CCB">
        <w:rPr>
          <w:rFonts w:ascii="Times New Roman" w:hAnsi="Times New Roman" w:cs="Times New Roman"/>
          <w:sz w:val="24"/>
          <w:szCs w:val="24"/>
        </w:rPr>
        <w:t xml:space="preserve"> around $24/acre-foot (Mullen et al.</w:t>
      </w:r>
      <w:r w:rsidR="00382816">
        <w:rPr>
          <w:rFonts w:ascii="Times New Roman" w:hAnsi="Times New Roman" w:cs="Times New Roman"/>
          <w:sz w:val="24"/>
          <w:szCs w:val="24"/>
        </w:rPr>
        <w:t>,</w:t>
      </w:r>
      <w:r w:rsidR="00055CCB">
        <w:rPr>
          <w:rFonts w:ascii="Times New Roman" w:hAnsi="Times New Roman" w:cs="Times New Roman"/>
          <w:sz w:val="24"/>
          <w:szCs w:val="24"/>
        </w:rPr>
        <w:t xml:space="preserve"> 2009).  This relatively low price for applied water is unlikely to exceed the threshold </w:t>
      </w:r>
      <w:r w:rsidR="00A11C15">
        <w:rPr>
          <w:rFonts w:ascii="Times New Roman" w:hAnsi="Times New Roman" w:cs="Times New Roman"/>
          <w:sz w:val="24"/>
          <w:szCs w:val="24"/>
        </w:rPr>
        <w:t xml:space="preserve">value </w:t>
      </w:r>
      <w:r w:rsidR="00055CCB">
        <w:rPr>
          <w:rFonts w:ascii="Times New Roman" w:hAnsi="Times New Roman" w:cs="Times New Roman"/>
          <w:sz w:val="24"/>
          <w:szCs w:val="24"/>
        </w:rPr>
        <w:t xml:space="preserve">for any of the irrigated crops grown in Georgia.  </w:t>
      </w:r>
      <w:r w:rsidR="00010259">
        <w:rPr>
          <w:rFonts w:ascii="Times New Roman" w:hAnsi="Times New Roman" w:cs="Times New Roman"/>
          <w:sz w:val="24"/>
          <w:szCs w:val="24"/>
        </w:rPr>
        <w:t>As a result</w:t>
      </w:r>
      <w:r w:rsidR="00055CCB">
        <w:rPr>
          <w:rFonts w:ascii="Times New Roman" w:hAnsi="Times New Roman" w:cs="Times New Roman"/>
          <w:sz w:val="24"/>
          <w:szCs w:val="24"/>
        </w:rPr>
        <w:t xml:space="preserve">, raising the irrigation efficiency should lead to a reduction in applied irrigation water.  </w:t>
      </w:r>
    </w:p>
    <w:p w:rsidR="001C7992" w:rsidRDefault="00010259" w:rsidP="00ED306F">
      <w:pPr>
        <w:ind w:firstLine="720"/>
        <w:rPr>
          <w:rFonts w:ascii="Times New Roman" w:hAnsi="Times New Roman" w:cs="Times New Roman"/>
          <w:sz w:val="24"/>
          <w:szCs w:val="24"/>
        </w:rPr>
      </w:pPr>
      <w:r>
        <w:rPr>
          <w:rFonts w:ascii="Times New Roman" w:hAnsi="Times New Roman" w:cs="Times New Roman"/>
          <w:sz w:val="24"/>
          <w:szCs w:val="24"/>
        </w:rPr>
        <w:t xml:space="preserve">Several of the councils’ draft plans recommend metering agricultural withdrawals and charging a volumetric price for irrigated uses.  Metering withdrawals would </w:t>
      </w:r>
      <w:r w:rsidR="003F66F2">
        <w:rPr>
          <w:rFonts w:ascii="Times New Roman" w:hAnsi="Times New Roman" w:cs="Times New Roman"/>
          <w:sz w:val="24"/>
          <w:szCs w:val="24"/>
        </w:rPr>
        <w:t xml:space="preserve">benefit water </w:t>
      </w:r>
      <w:r>
        <w:rPr>
          <w:rFonts w:ascii="Times New Roman" w:hAnsi="Times New Roman" w:cs="Times New Roman"/>
          <w:sz w:val="24"/>
          <w:szCs w:val="24"/>
        </w:rPr>
        <w:t xml:space="preserve">research </w:t>
      </w:r>
      <w:r w:rsidR="003F66F2">
        <w:rPr>
          <w:rFonts w:ascii="Times New Roman" w:hAnsi="Times New Roman" w:cs="Times New Roman"/>
          <w:sz w:val="24"/>
          <w:szCs w:val="24"/>
        </w:rPr>
        <w:t>and provide farmers with information on the actual volume of water they are applying.  Also, a</w:t>
      </w:r>
      <w:r>
        <w:rPr>
          <w:rFonts w:ascii="Times New Roman" w:hAnsi="Times New Roman" w:cs="Times New Roman"/>
          <w:sz w:val="24"/>
          <w:szCs w:val="24"/>
        </w:rPr>
        <w:t xml:space="preserve">dding a volumetric charge would represent a move toward efficient pricing of irrigation water.  </w:t>
      </w:r>
      <w:r w:rsidR="00D8032D">
        <w:rPr>
          <w:rFonts w:ascii="Times New Roman" w:hAnsi="Times New Roman" w:cs="Times New Roman"/>
          <w:sz w:val="24"/>
          <w:szCs w:val="24"/>
        </w:rPr>
        <w:t>One should keep in mind, however, of the potential relationship between water price, irrigation efficiency, and water use.</w:t>
      </w:r>
    </w:p>
    <w:p w:rsidR="00BE1367" w:rsidRDefault="003F66F2" w:rsidP="00ED306F">
      <w:pPr>
        <w:ind w:firstLine="720"/>
        <w:rPr>
          <w:rFonts w:ascii="Times New Roman" w:hAnsi="Times New Roman" w:cs="Times New Roman"/>
          <w:sz w:val="24"/>
          <w:szCs w:val="24"/>
        </w:rPr>
      </w:pPr>
      <w:r>
        <w:rPr>
          <w:rFonts w:ascii="Times New Roman" w:hAnsi="Times New Roman" w:cs="Times New Roman"/>
          <w:sz w:val="24"/>
          <w:szCs w:val="24"/>
        </w:rPr>
        <w:t>Most i</w:t>
      </w:r>
      <w:r w:rsidR="00CE357B">
        <w:rPr>
          <w:rFonts w:ascii="Times New Roman" w:hAnsi="Times New Roman" w:cs="Times New Roman"/>
          <w:sz w:val="24"/>
          <w:szCs w:val="24"/>
        </w:rPr>
        <w:t>rrigation permits in Georgia</w:t>
      </w:r>
      <w:r>
        <w:rPr>
          <w:rFonts w:ascii="Times New Roman" w:hAnsi="Times New Roman" w:cs="Times New Roman"/>
          <w:sz w:val="24"/>
          <w:szCs w:val="24"/>
        </w:rPr>
        <w:t xml:space="preserve"> have no formal expiration date.  Three council draft plans call for rescinding irrigation permits if they are not used for 2 consecutive years.  Such a recommendation should be implemented with considerable caution.  Use-it-or-lose-it provisions often lead producers to apply water </w:t>
      </w:r>
      <w:r w:rsidR="00BE1367">
        <w:rPr>
          <w:rFonts w:ascii="Times New Roman" w:hAnsi="Times New Roman" w:cs="Times New Roman"/>
          <w:sz w:val="24"/>
          <w:szCs w:val="24"/>
        </w:rPr>
        <w:t xml:space="preserve">simply to </w:t>
      </w:r>
      <w:r>
        <w:rPr>
          <w:rFonts w:ascii="Times New Roman" w:hAnsi="Times New Roman" w:cs="Times New Roman"/>
          <w:sz w:val="24"/>
          <w:szCs w:val="24"/>
        </w:rPr>
        <w:t>retain the option value of the permit</w:t>
      </w:r>
      <w:r w:rsidR="00BE1367">
        <w:rPr>
          <w:rFonts w:ascii="Times New Roman" w:hAnsi="Times New Roman" w:cs="Times New Roman"/>
          <w:sz w:val="24"/>
          <w:szCs w:val="24"/>
        </w:rPr>
        <w:t>.  This leads to both static and dynamic inefficiencies with respect to water use.</w:t>
      </w:r>
    </w:p>
    <w:p w:rsidR="00CE357B" w:rsidRDefault="00BE1367" w:rsidP="00ED306F">
      <w:pPr>
        <w:ind w:firstLine="720"/>
        <w:rPr>
          <w:rFonts w:ascii="Times New Roman" w:hAnsi="Times New Roman" w:cs="Times New Roman"/>
          <w:sz w:val="24"/>
          <w:szCs w:val="24"/>
        </w:rPr>
      </w:pPr>
      <w:r>
        <w:rPr>
          <w:rFonts w:ascii="Times New Roman" w:hAnsi="Times New Roman" w:cs="Times New Roman"/>
          <w:sz w:val="24"/>
          <w:szCs w:val="24"/>
        </w:rPr>
        <w:t>One final recommendation is, in times of drought, for the state to purchase irrigation water permits from farmers on a voluntarily basis through an auction.  Such an auction was held in Georgia in 2001.  The auction prevented 33,000 acres with irrigation permits from exercising their permit.  However, it was unclear how man</w:t>
      </w:r>
      <w:r w:rsidR="00314B63">
        <w:rPr>
          <w:rFonts w:ascii="Times New Roman" w:hAnsi="Times New Roman" w:cs="Times New Roman"/>
          <w:sz w:val="24"/>
          <w:szCs w:val="24"/>
        </w:rPr>
        <w:t>y</w:t>
      </w:r>
      <w:r>
        <w:rPr>
          <w:rFonts w:ascii="Times New Roman" w:hAnsi="Times New Roman" w:cs="Times New Roman"/>
          <w:sz w:val="24"/>
          <w:szCs w:val="24"/>
        </w:rPr>
        <w:t xml:space="preserve"> of those acres actually intended to apply irrigation water in 2001.  In other words, the state may very well have paid farmers n</w:t>
      </w:r>
      <w:r w:rsidR="009604CF">
        <w:rPr>
          <w:rFonts w:ascii="Times New Roman" w:hAnsi="Times New Roman" w:cs="Times New Roman"/>
          <w:sz w:val="24"/>
          <w:szCs w:val="24"/>
        </w:rPr>
        <w:t xml:space="preserve">ot to irrigate fields that would not have been irrigated even without the payment.  Establishing a database with metered water applications at the farm/field level would help screen and target future auctions.  </w:t>
      </w:r>
      <w:r w:rsidR="003F66F2">
        <w:rPr>
          <w:rFonts w:ascii="Times New Roman" w:hAnsi="Times New Roman" w:cs="Times New Roman"/>
          <w:sz w:val="24"/>
          <w:szCs w:val="24"/>
        </w:rPr>
        <w:t xml:space="preserve">  </w:t>
      </w:r>
    </w:p>
    <w:p w:rsidR="00D8032D" w:rsidRPr="009604CF" w:rsidRDefault="009604CF" w:rsidP="009604CF">
      <w:pPr>
        <w:rPr>
          <w:rFonts w:ascii="Times New Roman" w:hAnsi="Times New Roman" w:cs="Times New Roman"/>
          <w:b/>
          <w:sz w:val="24"/>
          <w:szCs w:val="24"/>
        </w:rPr>
      </w:pPr>
      <w:r>
        <w:rPr>
          <w:rFonts w:ascii="Times New Roman" w:hAnsi="Times New Roman" w:cs="Times New Roman"/>
          <w:b/>
          <w:sz w:val="24"/>
          <w:szCs w:val="24"/>
        </w:rPr>
        <w:t>Conclusions</w:t>
      </w:r>
    </w:p>
    <w:p w:rsidR="000F562D" w:rsidRPr="00D072C0" w:rsidRDefault="003B1F69" w:rsidP="00BE7542">
      <w:pPr>
        <w:rPr>
          <w:rFonts w:ascii="Times New Roman" w:hAnsi="Times New Roman" w:cs="Times New Roman"/>
          <w:sz w:val="24"/>
          <w:szCs w:val="24"/>
        </w:rPr>
      </w:pPr>
      <w:r>
        <w:rPr>
          <w:rFonts w:ascii="Times New Roman" w:hAnsi="Times New Roman" w:cs="Times New Roman"/>
          <w:sz w:val="24"/>
          <w:szCs w:val="24"/>
        </w:rPr>
        <w:t xml:space="preserve">The state of Georgia, like many </w:t>
      </w:r>
      <w:r w:rsidR="00382816">
        <w:rPr>
          <w:rFonts w:ascii="Times New Roman" w:hAnsi="Times New Roman" w:cs="Times New Roman"/>
          <w:sz w:val="24"/>
          <w:szCs w:val="24"/>
        </w:rPr>
        <w:t>s</w:t>
      </w:r>
      <w:r>
        <w:rPr>
          <w:rFonts w:ascii="Times New Roman" w:hAnsi="Times New Roman" w:cs="Times New Roman"/>
          <w:sz w:val="24"/>
          <w:szCs w:val="24"/>
        </w:rPr>
        <w:t xml:space="preserve">outhern states, is in a transitional period with respect to water resources.  Multiple pressures have heightened public awareness of water scarcity in this historically “wet” state.  To address this issue, Georgia has embarked on a Statewide Comprehensive </w:t>
      </w:r>
      <w:r w:rsidR="009A075E">
        <w:rPr>
          <w:rFonts w:ascii="Times New Roman" w:hAnsi="Times New Roman" w:cs="Times New Roman"/>
          <w:sz w:val="24"/>
          <w:szCs w:val="24"/>
        </w:rPr>
        <w:t xml:space="preserve">Water Management Plan.  The plan has set an ambitious schedule, much of which has been met on time.  Resource assessments and decadal demand forecasts have been completed, and </w:t>
      </w:r>
      <w:r w:rsidR="00382816">
        <w:rPr>
          <w:rFonts w:ascii="Times New Roman" w:hAnsi="Times New Roman" w:cs="Times New Roman"/>
          <w:sz w:val="24"/>
          <w:szCs w:val="24"/>
        </w:rPr>
        <w:t>r</w:t>
      </w:r>
      <w:r w:rsidR="009A075E">
        <w:rPr>
          <w:rFonts w:ascii="Times New Roman" w:hAnsi="Times New Roman" w:cs="Times New Roman"/>
          <w:sz w:val="24"/>
          <w:szCs w:val="24"/>
        </w:rPr>
        <w:t xml:space="preserve">egional </w:t>
      </w:r>
      <w:r w:rsidR="00382816">
        <w:rPr>
          <w:rFonts w:ascii="Times New Roman" w:hAnsi="Times New Roman" w:cs="Times New Roman"/>
          <w:sz w:val="24"/>
          <w:szCs w:val="24"/>
        </w:rPr>
        <w:t>w</w:t>
      </w:r>
      <w:r w:rsidR="009A075E">
        <w:rPr>
          <w:rFonts w:ascii="Times New Roman" w:hAnsi="Times New Roman" w:cs="Times New Roman"/>
          <w:sz w:val="24"/>
          <w:szCs w:val="24"/>
        </w:rPr>
        <w:t xml:space="preserve">ater </w:t>
      </w:r>
      <w:r w:rsidR="00382816">
        <w:rPr>
          <w:rFonts w:ascii="Times New Roman" w:hAnsi="Times New Roman" w:cs="Times New Roman"/>
          <w:sz w:val="24"/>
          <w:szCs w:val="24"/>
        </w:rPr>
        <w:t>p</w:t>
      </w:r>
      <w:r w:rsidR="009A075E">
        <w:rPr>
          <w:rFonts w:ascii="Times New Roman" w:hAnsi="Times New Roman" w:cs="Times New Roman"/>
          <w:sz w:val="24"/>
          <w:szCs w:val="24"/>
        </w:rPr>
        <w:t xml:space="preserve">lanning </w:t>
      </w:r>
      <w:r w:rsidR="00382816">
        <w:rPr>
          <w:rFonts w:ascii="Times New Roman" w:hAnsi="Times New Roman" w:cs="Times New Roman"/>
          <w:sz w:val="24"/>
          <w:szCs w:val="24"/>
        </w:rPr>
        <w:t>c</w:t>
      </w:r>
      <w:r w:rsidR="009A075E">
        <w:rPr>
          <w:rFonts w:ascii="Times New Roman" w:hAnsi="Times New Roman" w:cs="Times New Roman"/>
          <w:sz w:val="24"/>
          <w:szCs w:val="24"/>
        </w:rPr>
        <w:t xml:space="preserve">ouncils have begun to draft recommendations for meeting future water challenges.  </w:t>
      </w:r>
      <w:r w:rsidR="000F562D">
        <w:rPr>
          <w:rFonts w:ascii="Times New Roman" w:hAnsi="Times New Roman" w:cs="Times New Roman"/>
          <w:sz w:val="24"/>
          <w:szCs w:val="24"/>
        </w:rPr>
        <w:t xml:space="preserve">Some of the draft recommendations represent clear adjustments toward greater economic efficiency.  Others, if not carefully implemented, may have unintended consequences.   As states in the southern region undertake similar planning, the approach Georgia has taken – both in terms of the planning process and the actions being considered – should serve as a useful guide.  Detailed information about the planning process, as well as updated regional council plans, are available </w:t>
      </w:r>
      <w:r w:rsidR="000F562D" w:rsidRPr="00D072C0">
        <w:rPr>
          <w:rFonts w:ascii="Times New Roman" w:hAnsi="Times New Roman" w:cs="Times New Roman"/>
          <w:sz w:val="24"/>
          <w:szCs w:val="24"/>
        </w:rPr>
        <w:t xml:space="preserve">online at </w:t>
      </w:r>
      <w:hyperlink r:id="rId9" w:history="1">
        <w:r w:rsidR="000F562D" w:rsidRPr="00D072C0">
          <w:rPr>
            <w:rStyle w:val="Hyperlink"/>
            <w:rFonts w:ascii="Times New Roman" w:hAnsi="Times New Roman" w:cs="Times New Roman"/>
            <w:sz w:val="24"/>
            <w:szCs w:val="24"/>
          </w:rPr>
          <w:t>www.georgiawaterplanning.org</w:t>
        </w:r>
      </w:hyperlink>
      <w:r w:rsidR="000F562D" w:rsidRPr="00D072C0">
        <w:rPr>
          <w:rFonts w:ascii="Times New Roman" w:hAnsi="Times New Roman" w:cs="Times New Roman"/>
          <w:sz w:val="24"/>
          <w:szCs w:val="24"/>
        </w:rPr>
        <w:t xml:space="preserve">.  </w:t>
      </w:r>
    </w:p>
    <w:p w:rsidR="00126FB9" w:rsidRPr="00D072C0" w:rsidRDefault="00126FB9" w:rsidP="000F562D">
      <w:pPr>
        <w:rPr>
          <w:rFonts w:ascii="Times New Roman" w:hAnsi="Times New Roman" w:cs="Times New Roman"/>
          <w:sz w:val="24"/>
          <w:szCs w:val="24"/>
        </w:rPr>
      </w:pPr>
      <w:r w:rsidRPr="00D072C0">
        <w:rPr>
          <w:rFonts w:ascii="Times New Roman" w:hAnsi="Times New Roman" w:cs="Times New Roman"/>
          <w:sz w:val="24"/>
          <w:szCs w:val="24"/>
        </w:rPr>
        <w:br w:type="page"/>
      </w:r>
    </w:p>
    <w:p w:rsidR="00DD3643" w:rsidRPr="00D072C0" w:rsidRDefault="00126FB9" w:rsidP="00084DCC">
      <w:pPr>
        <w:ind w:left="720"/>
        <w:rPr>
          <w:rFonts w:ascii="Times New Roman" w:hAnsi="Times New Roman" w:cs="Times New Roman"/>
          <w:sz w:val="24"/>
          <w:szCs w:val="24"/>
        </w:rPr>
      </w:pPr>
      <w:proofErr w:type="gramStart"/>
      <w:r w:rsidRPr="00BE7542">
        <w:rPr>
          <w:rFonts w:ascii="Times New Roman" w:hAnsi="Times New Roman" w:cs="Times New Roman"/>
          <w:b/>
          <w:sz w:val="24"/>
          <w:szCs w:val="24"/>
        </w:rPr>
        <w:t>Figure 1</w:t>
      </w:r>
      <w:r w:rsidR="00BE7542">
        <w:rPr>
          <w:rFonts w:ascii="Times New Roman" w:hAnsi="Times New Roman" w:cs="Times New Roman"/>
          <w:b/>
          <w:sz w:val="24"/>
          <w:szCs w:val="24"/>
        </w:rPr>
        <w:t>.</w:t>
      </w:r>
      <w:proofErr w:type="gramEnd"/>
      <w:r w:rsidRPr="00D072C0">
        <w:rPr>
          <w:rFonts w:ascii="Times New Roman" w:hAnsi="Times New Roman" w:cs="Times New Roman"/>
          <w:sz w:val="24"/>
          <w:szCs w:val="24"/>
        </w:rPr>
        <w:t xml:space="preserve"> U.S. Average Annual Precipitation</w:t>
      </w:r>
    </w:p>
    <w:p w:rsidR="0076319F" w:rsidRPr="00D072C0" w:rsidRDefault="00126FB9" w:rsidP="00084DCC">
      <w:pPr>
        <w:ind w:left="720"/>
        <w:rPr>
          <w:rFonts w:ascii="Times New Roman" w:hAnsi="Times New Roman" w:cs="Times New Roman"/>
          <w:sz w:val="24"/>
          <w:szCs w:val="24"/>
        </w:rPr>
      </w:pPr>
      <w:r w:rsidRPr="00D072C0">
        <w:rPr>
          <w:rFonts w:ascii="Times New Roman" w:hAnsi="Times New Roman" w:cs="Times New Roman"/>
          <w:noProof/>
          <w:sz w:val="24"/>
          <w:szCs w:val="24"/>
        </w:rPr>
        <w:drawing>
          <wp:inline distT="0" distB="0" distL="0" distR="0">
            <wp:extent cx="5943600" cy="3808095"/>
            <wp:effectExtent l="19050" t="0" r="0" b="0"/>
            <wp:docPr id="1" name="Picture 0" descr="us_precipitation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_precipitation_map.png"/>
                    <pic:cNvPicPr/>
                  </pic:nvPicPr>
                  <pic:blipFill>
                    <a:blip r:embed="rId10" cstate="print"/>
                    <a:stretch>
                      <a:fillRect/>
                    </a:stretch>
                  </pic:blipFill>
                  <pic:spPr>
                    <a:xfrm>
                      <a:off x="0" y="0"/>
                      <a:ext cx="5943600" cy="3808095"/>
                    </a:xfrm>
                    <a:prstGeom prst="rect">
                      <a:avLst/>
                    </a:prstGeom>
                  </pic:spPr>
                </pic:pic>
              </a:graphicData>
            </a:graphic>
          </wp:inline>
        </w:drawing>
      </w:r>
    </w:p>
    <w:p w:rsidR="0076319F" w:rsidRPr="00D072C0" w:rsidRDefault="0076319F">
      <w:pPr>
        <w:rPr>
          <w:rFonts w:ascii="Times New Roman" w:hAnsi="Times New Roman" w:cs="Times New Roman"/>
          <w:sz w:val="24"/>
          <w:szCs w:val="24"/>
        </w:rPr>
      </w:pPr>
      <w:r w:rsidRPr="00D072C0">
        <w:rPr>
          <w:rFonts w:ascii="Times New Roman" w:hAnsi="Times New Roman" w:cs="Times New Roman"/>
          <w:sz w:val="24"/>
          <w:szCs w:val="24"/>
        </w:rPr>
        <w:br w:type="page"/>
      </w:r>
    </w:p>
    <w:p w:rsidR="00126FB9" w:rsidRPr="00D072C0" w:rsidRDefault="00757287" w:rsidP="00084DCC">
      <w:pPr>
        <w:ind w:left="720"/>
        <w:rPr>
          <w:rFonts w:ascii="Times New Roman" w:hAnsi="Times New Roman" w:cs="Times New Roman"/>
          <w:sz w:val="24"/>
          <w:szCs w:val="24"/>
        </w:rPr>
      </w:pPr>
      <w:proofErr w:type="gramStart"/>
      <w:r w:rsidRPr="00BE7542">
        <w:rPr>
          <w:rFonts w:ascii="Times New Roman" w:hAnsi="Times New Roman" w:cs="Times New Roman"/>
          <w:b/>
          <w:sz w:val="24"/>
          <w:szCs w:val="24"/>
        </w:rPr>
        <w:t>Figure 2</w:t>
      </w:r>
      <w:r w:rsidR="00BE7542">
        <w:rPr>
          <w:rFonts w:ascii="Times New Roman" w:hAnsi="Times New Roman" w:cs="Times New Roman"/>
          <w:b/>
          <w:sz w:val="24"/>
          <w:szCs w:val="24"/>
        </w:rPr>
        <w:t>.</w:t>
      </w:r>
      <w:proofErr w:type="gramEnd"/>
      <w:r w:rsidRPr="00D072C0">
        <w:rPr>
          <w:rFonts w:ascii="Times New Roman" w:hAnsi="Times New Roman" w:cs="Times New Roman"/>
          <w:sz w:val="24"/>
          <w:szCs w:val="24"/>
        </w:rPr>
        <w:t xml:space="preserve"> Drought, Population, and Irrigation in Georgia, 1900-2010</w:t>
      </w:r>
      <w:r w:rsidR="000D4239" w:rsidRPr="00D072C0">
        <w:rPr>
          <w:rStyle w:val="FootnoteReference"/>
          <w:rFonts w:ascii="Times New Roman" w:hAnsi="Times New Roman" w:cs="Times New Roman"/>
          <w:sz w:val="24"/>
          <w:szCs w:val="24"/>
        </w:rPr>
        <w:footnoteReference w:id="3"/>
      </w:r>
    </w:p>
    <w:p w:rsidR="00757287" w:rsidRPr="00D072C0" w:rsidRDefault="00757287" w:rsidP="00084DCC">
      <w:pPr>
        <w:ind w:left="720"/>
        <w:rPr>
          <w:rFonts w:ascii="Times New Roman" w:hAnsi="Times New Roman" w:cs="Times New Roman"/>
          <w:sz w:val="24"/>
          <w:szCs w:val="24"/>
        </w:rPr>
      </w:pPr>
      <w:r w:rsidRPr="00D072C0">
        <w:rPr>
          <w:rFonts w:ascii="Times New Roman" w:hAnsi="Times New Roman" w:cs="Times New Roman"/>
          <w:noProof/>
          <w:sz w:val="24"/>
          <w:szCs w:val="24"/>
        </w:rPr>
        <w:drawing>
          <wp:inline distT="0" distB="0" distL="0" distR="0">
            <wp:extent cx="5943600" cy="4342765"/>
            <wp:effectExtent l="19050" t="0" r="19050" b="63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2F88" w:rsidRPr="00D072C0" w:rsidRDefault="00F02F88">
      <w:pPr>
        <w:rPr>
          <w:rFonts w:ascii="Times New Roman" w:hAnsi="Times New Roman" w:cs="Times New Roman"/>
          <w:sz w:val="24"/>
          <w:szCs w:val="24"/>
        </w:rPr>
      </w:pPr>
      <w:r w:rsidRPr="00D072C0">
        <w:rPr>
          <w:rFonts w:ascii="Times New Roman" w:hAnsi="Times New Roman" w:cs="Times New Roman"/>
          <w:sz w:val="24"/>
          <w:szCs w:val="24"/>
        </w:rPr>
        <w:br w:type="page"/>
      </w:r>
    </w:p>
    <w:p w:rsidR="00F02F88" w:rsidRPr="00D072C0" w:rsidRDefault="00F02F88" w:rsidP="00084DCC">
      <w:pPr>
        <w:ind w:left="720"/>
        <w:rPr>
          <w:rFonts w:ascii="Times New Roman" w:hAnsi="Times New Roman" w:cs="Times New Roman"/>
          <w:sz w:val="24"/>
          <w:szCs w:val="24"/>
        </w:rPr>
      </w:pPr>
      <w:proofErr w:type="gramStart"/>
      <w:r w:rsidRPr="00BE7542">
        <w:rPr>
          <w:rFonts w:ascii="Times New Roman" w:hAnsi="Times New Roman" w:cs="Times New Roman"/>
          <w:b/>
          <w:sz w:val="24"/>
          <w:szCs w:val="24"/>
        </w:rPr>
        <w:t>Figure 3</w:t>
      </w:r>
      <w:r w:rsidR="00BE7542" w:rsidRPr="00BE7542">
        <w:rPr>
          <w:rFonts w:ascii="Times New Roman" w:hAnsi="Times New Roman" w:cs="Times New Roman"/>
          <w:b/>
          <w:sz w:val="24"/>
          <w:szCs w:val="24"/>
        </w:rPr>
        <w:t>.</w:t>
      </w:r>
      <w:proofErr w:type="gramEnd"/>
      <w:r w:rsidRPr="00D072C0">
        <w:rPr>
          <w:rFonts w:ascii="Times New Roman" w:hAnsi="Times New Roman" w:cs="Times New Roman"/>
          <w:sz w:val="24"/>
          <w:szCs w:val="24"/>
        </w:rPr>
        <w:t xml:space="preserve"> Proposed Schedule for Statewide Comprehensive Water Management Plan</w:t>
      </w:r>
    </w:p>
    <w:p w:rsidR="002D050D" w:rsidRPr="00D072C0" w:rsidRDefault="00D0652E" w:rsidP="00084DCC">
      <w:pPr>
        <w:ind w:left="720"/>
        <w:rPr>
          <w:rFonts w:ascii="Times New Roman" w:hAnsi="Times New Roman" w:cs="Times New Roman"/>
          <w:sz w:val="24"/>
          <w:szCs w:val="24"/>
        </w:rPr>
      </w:pPr>
      <w:r w:rsidRPr="00D072C0">
        <w:rPr>
          <w:rFonts w:ascii="Times New Roman" w:hAnsi="Times New Roman" w:cs="Times New Roman"/>
          <w:noProof/>
          <w:sz w:val="24"/>
          <w:szCs w:val="24"/>
        </w:rPr>
        <w:drawing>
          <wp:inline distT="0" distB="0" distL="0" distR="0">
            <wp:extent cx="5941001" cy="4323907"/>
            <wp:effectExtent l="19050" t="0" r="2599" b="0"/>
            <wp:docPr id="3" name="Picture 0" descr="final_three_year_water_plan_schedu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three_year_water_plan_schedule 1.jpg"/>
                    <pic:cNvPicPr/>
                  </pic:nvPicPr>
                  <pic:blipFill>
                    <a:blip r:embed="rId12" cstate="print"/>
                    <a:srcRect b="5837"/>
                    <a:stretch>
                      <a:fillRect/>
                    </a:stretch>
                  </pic:blipFill>
                  <pic:spPr>
                    <a:xfrm>
                      <a:off x="0" y="0"/>
                      <a:ext cx="5941001" cy="4323907"/>
                    </a:xfrm>
                    <a:prstGeom prst="rect">
                      <a:avLst/>
                    </a:prstGeom>
                  </pic:spPr>
                </pic:pic>
              </a:graphicData>
            </a:graphic>
          </wp:inline>
        </w:drawing>
      </w:r>
    </w:p>
    <w:p w:rsidR="002D050D" w:rsidRPr="00D072C0" w:rsidRDefault="002D050D">
      <w:pPr>
        <w:rPr>
          <w:rFonts w:ascii="Times New Roman" w:hAnsi="Times New Roman" w:cs="Times New Roman"/>
          <w:sz w:val="24"/>
          <w:szCs w:val="24"/>
        </w:rPr>
      </w:pPr>
      <w:r w:rsidRPr="00D072C0">
        <w:rPr>
          <w:rFonts w:ascii="Times New Roman" w:hAnsi="Times New Roman" w:cs="Times New Roman"/>
          <w:sz w:val="24"/>
          <w:szCs w:val="24"/>
        </w:rPr>
        <w:br w:type="page"/>
      </w:r>
    </w:p>
    <w:p w:rsidR="00C74837" w:rsidRDefault="00C74837">
      <w:pPr>
        <w:rPr>
          <w:rFonts w:ascii="Times New Roman" w:hAnsi="Times New Roman" w:cs="Times New Roman"/>
          <w:sz w:val="24"/>
          <w:szCs w:val="24"/>
        </w:rPr>
      </w:pPr>
      <w:proofErr w:type="gramStart"/>
      <w:r w:rsidRPr="00BE7542">
        <w:rPr>
          <w:rFonts w:ascii="Times New Roman" w:hAnsi="Times New Roman" w:cs="Times New Roman"/>
          <w:b/>
          <w:sz w:val="24"/>
          <w:szCs w:val="24"/>
        </w:rPr>
        <w:t>Figure 4</w:t>
      </w:r>
      <w:r w:rsidR="00BE7542" w:rsidRPr="00BE7542">
        <w:rPr>
          <w:rFonts w:ascii="Times New Roman" w:hAnsi="Times New Roman" w:cs="Times New Roman"/>
          <w:b/>
          <w:sz w:val="24"/>
          <w:szCs w:val="24"/>
        </w:rPr>
        <w:t>.</w:t>
      </w:r>
      <w:proofErr w:type="gramEnd"/>
      <w:r>
        <w:rPr>
          <w:rFonts w:ascii="Times New Roman" w:hAnsi="Times New Roman" w:cs="Times New Roman"/>
          <w:sz w:val="24"/>
          <w:szCs w:val="24"/>
        </w:rPr>
        <w:t xml:space="preserve"> Irrigation Efficiency versus Applied Water Use</w:t>
      </w:r>
    </w:p>
    <w:p w:rsidR="00C74837" w:rsidRDefault="00C74837">
      <w:pPr>
        <w:rPr>
          <w:rFonts w:ascii="Times New Roman" w:hAnsi="Times New Roman" w:cs="Times New Roman"/>
          <w:sz w:val="24"/>
          <w:szCs w:val="24"/>
        </w:rPr>
      </w:pPr>
      <w:r w:rsidRPr="00C74837">
        <w:rPr>
          <w:rFonts w:ascii="Times New Roman" w:hAnsi="Times New Roman" w:cs="Times New Roman"/>
          <w:noProof/>
          <w:sz w:val="24"/>
          <w:szCs w:val="24"/>
        </w:rPr>
        <w:drawing>
          <wp:inline distT="0" distB="0" distL="0" distR="0">
            <wp:extent cx="4572000" cy="27432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24"/>
          <w:szCs w:val="24"/>
        </w:rPr>
        <w:br w:type="page"/>
      </w:r>
    </w:p>
    <w:p w:rsidR="003B1F69" w:rsidRPr="003B1F69" w:rsidRDefault="003B1F69" w:rsidP="00084DCC">
      <w:pPr>
        <w:ind w:left="720"/>
        <w:rPr>
          <w:rFonts w:ascii="Times New Roman" w:hAnsi="Times New Roman" w:cs="Times New Roman"/>
          <w:b/>
          <w:sz w:val="24"/>
          <w:szCs w:val="24"/>
        </w:rPr>
      </w:pPr>
      <w:r>
        <w:rPr>
          <w:rFonts w:ascii="Times New Roman" w:hAnsi="Times New Roman" w:cs="Times New Roman"/>
          <w:b/>
          <w:sz w:val="24"/>
          <w:szCs w:val="24"/>
        </w:rPr>
        <w:t>References</w:t>
      </w:r>
    </w:p>
    <w:p w:rsidR="00A03DBF" w:rsidRPr="00A03DBF" w:rsidRDefault="00A03DBF" w:rsidP="00084DCC">
      <w:pPr>
        <w:ind w:left="720"/>
        <w:rPr>
          <w:rFonts w:ascii="Times New Roman" w:hAnsi="Times New Roman" w:cs="Times New Roman"/>
          <w:sz w:val="24"/>
          <w:szCs w:val="24"/>
        </w:rPr>
      </w:pPr>
      <w:proofErr w:type="gramStart"/>
      <w:r>
        <w:rPr>
          <w:rFonts w:ascii="Times New Roman" w:hAnsi="Times New Roman" w:cs="Times New Roman"/>
          <w:sz w:val="24"/>
          <w:szCs w:val="24"/>
        </w:rPr>
        <w:t>American Water Works Association.</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Manual of Water Supply Practices: Principles of Water Rates, Fees, and Charges</w:t>
      </w:r>
      <w:proofErr w:type="gramStart"/>
      <w:r>
        <w:rPr>
          <w:rFonts w:ascii="Times New Roman" w:hAnsi="Times New Roman" w:cs="Times New Roman"/>
          <w:sz w:val="24"/>
          <w:szCs w:val="24"/>
        </w:rPr>
        <w:t xml:space="preserve">,  </w:t>
      </w:r>
      <w:r w:rsidR="00193410">
        <w:rPr>
          <w:rFonts w:ascii="Times New Roman" w:hAnsi="Times New Roman" w:cs="Times New Roman"/>
          <w:sz w:val="24"/>
          <w:szCs w:val="24"/>
        </w:rPr>
        <w:t>fifth</w:t>
      </w:r>
      <w:proofErr w:type="gramEnd"/>
      <w:r w:rsidR="00193410">
        <w:rPr>
          <w:rFonts w:ascii="Times New Roman" w:hAnsi="Times New Roman" w:cs="Times New Roman"/>
          <w:sz w:val="24"/>
          <w:szCs w:val="24"/>
        </w:rPr>
        <w:t xml:space="preserve"> edition</w:t>
      </w:r>
      <w:r w:rsidR="00AF5B60">
        <w:rPr>
          <w:rFonts w:ascii="Times New Roman" w:hAnsi="Times New Roman" w:cs="Times New Roman"/>
          <w:sz w:val="24"/>
          <w:szCs w:val="24"/>
        </w:rPr>
        <w:t>, 2000</w:t>
      </w:r>
      <w:r w:rsidR="00193410">
        <w:rPr>
          <w:rFonts w:ascii="Times New Roman" w:hAnsi="Times New Roman" w:cs="Times New Roman"/>
          <w:sz w:val="24"/>
          <w:szCs w:val="24"/>
        </w:rPr>
        <w:t>.</w:t>
      </w:r>
    </w:p>
    <w:p w:rsidR="008C62A0" w:rsidRPr="00065177" w:rsidRDefault="00065177" w:rsidP="00084DCC">
      <w:pPr>
        <w:ind w:left="720"/>
        <w:rPr>
          <w:rFonts w:ascii="Times New Roman" w:hAnsi="Times New Roman" w:cs="Times New Roman"/>
          <w:i/>
          <w:sz w:val="24"/>
          <w:szCs w:val="24"/>
        </w:rPr>
      </w:pPr>
      <w:proofErr w:type="gramStart"/>
      <w:r>
        <w:rPr>
          <w:rFonts w:ascii="Times New Roman" w:hAnsi="Times New Roman" w:cs="Times New Roman"/>
          <w:sz w:val="24"/>
          <w:szCs w:val="24"/>
        </w:rPr>
        <w:t>Baum, M., M. Dukes, G. Miller.</w:t>
      </w:r>
      <w:proofErr w:type="gramEnd"/>
      <w:r>
        <w:rPr>
          <w:rFonts w:ascii="Times New Roman" w:hAnsi="Times New Roman" w:cs="Times New Roman"/>
          <w:sz w:val="24"/>
          <w:szCs w:val="24"/>
        </w:rPr>
        <w:t xml:space="preserve"> “Residential Irrigation Uniformity and Efficiency in Florida</w:t>
      </w:r>
      <w:r w:rsidR="00C5516C">
        <w:rPr>
          <w:rFonts w:ascii="Times New Roman" w:hAnsi="Times New Roman" w:cs="Times New Roman"/>
          <w:sz w:val="24"/>
          <w:szCs w:val="24"/>
        </w:rPr>
        <w:t>.</w:t>
      </w:r>
      <w:r>
        <w:rPr>
          <w:rFonts w:ascii="Times New Roman" w:hAnsi="Times New Roman" w:cs="Times New Roman"/>
          <w:sz w:val="24"/>
          <w:szCs w:val="24"/>
        </w:rPr>
        <w:t>” ASAE Paper Number FL03-100</w:t>
      </w:r>
      <w:r w:rsidR="00AF5B60">
        <w:rPr>
          <w:rFonts w:ascii="Times New Roman" w:hAnsi="Times New Roman" w:cs="Times New Roman"/>
          <w:sz w:val="24"/>
          <w:szCs w:val="24"/>
        </w:rPr>
        <w:t>, 2003</w:t>
      </w:r>
      <w:r>
        <w:rPr>
          <w:rFonts w:ascii="Times New Roman" w:hAnsi="Times New Roman" w:cs="Times New Roman"/>
          <w:sz w:val="24"/>
          <w:szCs w:val="24"/>
        </w:rPr>
        <w:t xml:space="preserve">. </w:t>
      </w:r>
    </w:p>
    <w:p w:rsidR="004C6C22" w:rsidRPr="004C6C22" w:rsidRDefault="004C6C22" w:rsidP="00084DCC">
      <w:pPr>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Boggess</w:t>
      </w:r>
      <w:proofErr w:type="spellEnd"/>
      <w:r>
        <w:rPr>
          <w:rFonts w:ascii="Times New Roman" w:hAnsi="Times New Roman" w:cs="Times New Roman"/>
          <w:sz w:val="24"/>
          <w:szCs w:val="24"/>
        </w:rPr>
        <w:t xml:space="preserve">, W., R. </w:t>
      </w:r>
      <w:proofErr w:type="spellStart"/>
      <w:r>
        <w:rPr>
          <w:rFonts w:ascii="Times New Roman" w:hAnsi="Times New Roman" w:cs="Times New Roman"/>
          <w:sz w:val="24"/>
          <w:szCs w:val="24"/>
        </w:rPr>
        <w:t>Lacewell</w:t>
      </w:r>
      <w:proofErr w:type="spellEnd"/>
      <w:r>
        <w:rPr>
          <w:rFonts w:ascii="Times New Roman" w:hAnsi="Times New Roman" w:cs="Times New Roman"/>
          <w:sz w:val="24"/>
          <w:szCs w:val="24"/>
        </w:rPr>
        <w:t xml:space="preserve">, and D. </w:t>
      </w:r>
      <w:proofErr w:type="spellStart"/>
      <w:r>
        <w:rPr>
          <w:rFonts w:ascii="Times New Roman" w:hAnsi="Times New Roman" w:cs="Times New Roman"/>
          <w:sz w:val="24"/>
          <w:szCs w:val="24"/>
        </w:rPr>
        <w:t>Zilberman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“Ec</w:t>
      </w:r>
      <w:r w:rsidR="00B65EDF">
        <w:rPr>
          <w:rFonts w:ascii="Times New Roman" w:hAnsi="Times New Roman" w:cs="Times New Roman"/>
          <w:sz w:val="24"/>
          <w:szCs w:val="24"/>
        </w:rPr>
        <w:t>o</w:t>
      </w:r>
      <w:r>
        <w:rPr>
          <w:rFonts w:ascii="Times New Roman" w:hAnsi="Times New Roman" w:cs="Times New Roman"/>
          <w:sz w:val="24"/>
          <w:szCs w:val="24"/>
        </w:rPr>
        <w:t>nomics of Water Use in Agriculture</w:t>
      </w:r>
      <w:r w:rsidR="00C5516C">
        <w:rPr>
          <w:rFonts w:ascii="Times New Roman" w:hAnsi="Times New Roman" w:cs="Times New Roman"/>
          <w:sz w:val="24"/>
          <w:szCs w:val="24"/>
        </w:rPr>
        <w:t>.</w:t>
      </w:r>
      <w:r>
        <w:rPr>
          <w:rFonts w:ascii="Times New Roman" w:hAnsi="Times New Roman" w:cs="Times New Roman"/>
          <w:sz w:val="24"/>
          <w:szCs w:val="24"/>
        </w:rPr>
        <w:t xml:space="preserve">” in </w:t>
      </w:r>
      <w:r w:rsidRPr="00AF5B60">
        <w:rPr>
          <w:rFonts w:ascii="Times New Roman" w:hAnsi="Times New Roman" w:cs="Times New Roman"/>
          <w:i/>
          <w:sz w:val="24"/>
          <w:szCs w:val="24"/>
        </w:rPr>
        <w:t>Agricultural and Environmental Resource Economics</w:t>
      </w:r>
      <w:r>
        <w:rPr>
          <w:rFonts w:ascii="Times New Roman" w:hAnsi="Times New Roman" w:cs="Times New Roman"/>
          <w:sz w:val="24"/>
          <w:szCs w:val="24"/>
          <w:u w:val="single"/>
        </w:rPr>
        <w:t>.</w:t>
      </w:r>
      <w:proofErr w:type="gramEnd"/>
      <w:r>
        <w:rPr>
          <w:rFonts w:ascii="Times New Roman" w:hAnsi="Times New Roman" w:cs="Times New Roman"/>
          <w:sz w:val="24"/>
          <w:szCs w:val="24"/>
        </w:rPr>
        <w:t xml:space="preserve"> G. Carlson, D. </w:t>
      </w:r>
      <w:proofErr w:type="spellStart"/>
      <w:r>
        <w:rPr>
          <w:rFonts w:ascii="Times New Roman" w:hAnsi="Times New Roman" w:cs="Times New Roman"/>
          <w:sz w:val="24"/>
          <w:szCs w:val="24"/>
        </w:rPr>
        <w:t>Zilberman</w:t>
      </w:r>
      <w:proofErr w:type="spellEnd"/>
      <w:r>
        <w:rPr>
          <w:rFonts w:ascii="Times New Roman" w:hAnsi="Times New Roman" w:cs="Times New Roman"/>
          <w:sz w:val="24"/>
          <w:szCs w:val="24"/>
        </w:rPr>
        <w:t xml:space="preserve">, and J. </w:t>
      </w:r>
      <w:proofErr w:type="spellStart"/>
      <w:r>
        <w:rPr>
          <w:rFonts w:ascii="Times New Roman" w:hAnsi="Times New Roman" w:cs="Times New Roman"/>
          <w:sz w:val="24"/>
          <w:szCs w:val="24"/>
        </w:rPr>
        <w:t>Miranowski</w:t>
      </w:r>
      <w:proofErr w:type="spellEnd"/>
      <w:r>
        <w:rPr>
          <w:rFonts w:ascii="Times New Roman" w:hAnsi="Times New Roman" w:cs="Times New Roman"/>
          <w:sz w:val="24"/>
          <w:szCs w:val="24"/>
        </w:rPr>
        <w:t xml:space="preserve"> (eds.), Oxford University Press, New York, </w:t>
      </w:r>
      <w:proofErr w:type="gramStart"/>
      <w:r>
        <w:rPr>
          <w:rFonts w:ascii="Times New Roman" w:hAnsi="Times New Roman" w:cs="Times New Roman"/>
          <w:sz w:val="24"/>
          <w:szCs w:val="24"/>
        </w:rPr>
        <w:t>NY.</w:t>
      </w:r>
      <w:r w:rsidR="00AF5B60">
        <w:rPr>
          <w:rFonts w:ascii="Times New Roman" w:hAnsi="Times New Roman" w:cs="Times New Roman"/>
          <w:sz w:val="24"/>
          <w:szCs w:val="24"/>
        </w:rPr>
        <w:t>,</w:t>
      </w:r>
      <w:proofErr w:type="gramEnd"/>
      <w:r w:rsidR="00AF5B60">
        <w:rPr>
          <w:rFonts w:ascii="Times New Roman" w:hAnsi="Times New Roman" w:cs="Times New Roman"/>
          <w:sz w:val="24"/>
          <w:szCs w:val="24"/>
        </w:rPr>
        <w:t xml:space="preserve"> 1993.</w:t>
      </w:r>
    </w:p>
    <w:p w:rsidR="00AA657B" w:rsidRDefault="00AA657B" w:rsidP="00084DCC">
      <w:pPr>
        <w:ind w:left="720"/>
        <w:rPr>
          <w:rFonts w:ascii="Times New Roman" w:hAnsi="Times New Roman" w:cs="Times New Roman"/>
          <w:sz w:val="24"/>
          <w:szCs w:val="24"/>
        </w:rPr>
      </w:pPr>
      <w:proofErr w:type="gramStart"/>
      <w:r>
        <w:rPr>
          <w:rFonts w:ascii="Times New Roman" w:hAnsi="Times New Roman" w:cs="Times New Roman"/>
          <w:sz w:val="24"/>
          <w:szCs w:val="24"/>
        </w:rPr>
        <w:t>Boland, J. and D. Whittington.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Political Economy of Increasing Block Tariffs in Developing Countries</w:t>
      </w:r>
      <w:r w:rsidR="00C5516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Paper presented at the World Bank Sponsored Workshop on Political Economy of Water Pricing Implementation, Washington, DC, </w:t>
      </w:r>
      <w:proofErr w:type="gramStart"/>
      <w:r>
        <w:rPr>
          <w:rFonts w:ascii="Times New Roman" w:hAnsi="Times New Roman" w:cs="Times New Roman"/>
          <w:sz w:val="24"/>
          <w:szCs w:val="24"/>
        </w:rPr>
        <w:t>November</w:t>
      </w:r>
      <w:proofErr w:type="gramEnd"/>
      <w:r>
        <w:rPr>
          <w:rFonts w:ascii="Times New Roman" w:hAnsi="Times New Roman" w:cs="Times New Roman"/>
          <w:sz w:val="24"/>
          <w:szCs w:val="24"/>
        </w:rPr>
        <w:t xml:space="preserve"> 3-5, 1998.</w:t>
      </w:r>
    </w:p>
    <w:p w:rsidR="008C62A0" w:rsidRPr="008C62A0" w:rsidRDefault="008C62A0" w:rsidP="00084DCC">
      <w:pPr>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Cavero</w:t>
      </w:r>
      <w:proofErr w:type="spellEnd"/>
      <w:r>
        <w:rPr>
          <w:rFonts w:ascii="Times New Roman" w:hAnsi="Times New Roman" w:cs="Times New Roman"/>
          <w:sz w:val="24"/>
          <w:szCs w:val="24"/>
        </w:rPr>
        <w:t xml:space="preserve">, J., L. Jimenez, M. </w:t>
      </w:r>
      <w:proofErr w:type="spellStart"/>
      <w:r>
        <w:rPr>
          <w:rFonts w:ascii="Times New Roman" w:hAnsi="Times New Roman" w:cs="Times New Roman"/>
          <w:sz w:val="24"/>
          <w:szCs w:val="24"/>
        </w:rPr>
        <w:t>Puig</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Faci</w:t>
      </w:r>
      <w:proofErr w:type="spellEnd"/>
      <w:r>
        <w:rPr>
          <w:rFonts w:ascii="Times New Roman" w:hAnsi="Times New Roman" w:cs="Times New Roman"/>
          <w:sz w:val="24"/>
          <w:szCs w:val="24"/>
        </w:rPr>
        <w:t>, and A. Martinez-Cob.</w:t>
      </w:r>
      <w:proofErr w:type="gramEnd"/>
      <w:r>
        <w:rPr>
          <w:rFonts w:ascii="Times New Roman" w:hAnsi="Times New Roman" w:cs="Times New Roman"/>
          <w:sz w:val="24"/>
          <w:szCs w:val="24"/>
        </w:rPr>
        <w:t xml:space="preserve"> “Maize Growth and Yield under Daytime and Nighttime Solid-Set Sprinkler Irrigation</w:t>
      </w:r>
      <w:r w:rsidR="00C5516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Agronomy Journal</w:t>
      </w:r>
      <w:r>
        <w:rPr>
          <w:rFonts w:ascii="Times New Roman" w:hAnsi="Times New Roman" w:cs="Times New Roman"/>
          <w:sz w:val="24"/>
          <w:szCs w:val="24"/>
        </w:rPr>
        <w:t xml:space="preserve"> 100</w:t>
      </w:r>
      <w:proofErr w:type="gramStart"/>
      <w:r w:rsidR="00AF5B60">
        <w:rPr>
          <w:rFonts w:ascii="Times New Roman" w:hAnsi="Times New Roman" w:cs="Times New Roman"/>
          <w:sz w:val="24"/>
          <w:szCs w:val="24"/>
        </w:rPr>
        <w:t>,6</w:t>
      </w:r>
      <w:proofErr w:type="gramEnd"/>
      <w:r>
        <w:rPr>
          <w:rFonts w:ascii="Times New Roman" w:hAnsi="Times New Roman" w:cs="Times New Roman"/>
          <w:sz w:val="24"/>
          <w:szCs w:val="24"/>
        </w:rPr>
        <w:t>(</w:t>
      </w:r>
      <w:r w:rsidR="00AF5B60">
        <w:rPr>
          <w:rFonts w:ascii="Times New Roman" w:hAnsi="Times New Roman" w:cs="Times New Roman"/>
          <w:sz w:val="24"/>
          <w:szCs w:val="24"/>
        </w:rPr>
        <w:t>2008</w:t>
      </w:r>
      <w:r>
        <w:rPr>
          <w:rFonts w:ascii="Times New Roman" w:hAnsi="Times New Roman" w:cs="Times New Roman"/>
          <w:sz w:val="24"/>
          <w:szCs w:val="24"/>
        </w:rPr>
        <w:t>): 1573-1579.</w:t>
      </w:r>
    </w:p>
    <w:p w:rsidR="00D0652E" w:rsidRDefault="004F64A4" w:rsidP="00084DCC">
      <w:pPr>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Dalhuisen</w:t>
      </w:r>
      <w:proofErr w:type="spellEnd"/>
      <w:r>
        <w:rPr>
          <w:rFonts w:ascii="Times New Roman" w:hAnsi="Times New Roman" w:cs="Times New Roman"/>
          <w:sz w:val="24"/>
          <w:szCs w:val="24"/>
        </w:rPr>
        <w:t xml:space="preserve">, J.M., R. </w:t>
      </w:r>
      <w:proofErr w:type="spellStart"/>
      <w:r>
        <w:rPr>
          <w:rFonts w:ascii="Times New Roman" w:hAnsi="Times New Roman" w:cs="Times New Roman"/>
          <w:sz w:val="24"/>
          <w:szCs w:val="24"/>
        </w:rPr>
        <w:t>Florax</w:t>
      </w:r>
      <w:proofErr w:type="spellEnd"/>
      <w:r>
        <w:rPr>
          <w:rFonts w:ascii="Times New Roman" w:hAnsi="Times New Roman" w:cs="Times New Roman"/>
          <w:sz w:val="24"/>
          <w:szCs w:val="24"/>
        </w:rPr>
        <w:t xml:space="preserve">, H. de </w:t>
      </w:r>
      <w:proofErr w:type="spellStart"/>
      <w:r>
        <w:rPr>
          <w:rFonts w:ascii="Times New Roman" w:hAnsi="Times New Roman" w:cs="Times New Roman"/>
          <w:sz w:val="24"/>
          <w:szCs w:val="24"/>
        </w:rPr>
        <w:t>Groot</w:t>
      </w:r>
      <w:proofErr w:type="spellEnd"/>
      <w:r>
        <w:rPr>
          <w:rFonts w:ascii="Times New Roman" w:hAnsi="Times New Roman" w:cs="Times New Roman"/>
          <w:sz w:val="24"/>
          <w:szCs w:val="24"/>
        </w:rPr>
        <w:t xml:space="preserve">, and P. </w:t>
      </w:r>
      <w:proofErr w:type="spellStart"/>
      <w:r>
        <w:rPr>
          <w:rFonts w:ascii="Times New Roman" w:hAnsi="Times New Roman" w:cs="Times New Roman"/>
          <w:sz w:val="24"/>
          <w:szCs w:val="24"/>
        </w:rPr>
        <w:t>Nijkamp</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“Price and Income </w:t>
      </w:r>
      <w:proofErr w:type="spellStart"/>
      <w:r>
        <w:rPr>
          <w:rFonts w:ascii="Times New Roman" w:hAnsi="Times New Roman" w:cs="Times New Roman"/>
          <w:sz w:val="24"/>
          <w:szCs w:val="24"/>
        </w:rPr>
        <w:t>Elasticities</w:t>
      </w:r>
      <w:proofErr w:type="spellEnd"/>
      <w:r>
        <w:rPr>
          <w:rFonts w:ascii="Times New Roman" w:hAnsi="Times New Roman" w:cs="Times New Roman"/>
          <w:sz w:val="24"/>
          <w:szCs w:val="24"/>
        </w:rPr>
        <w:t xml:space="preserve"> of Residential Water Demand: A Meta-Analysis</w:t>
      </w:r>
      <w:r w:rsidR="00C5516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Land Economics</w:t>
      </w:r>
      <w:r>
        <w:rPr>
          <w:rFonts w:ascii="Times New Roman" w:hAnsi="Times New Roman" w:cs="Times New Roman"/>
          <w:sz w:val="24"/>
          <w:szCs w:val="24"/>
        </w:rPr>
        <w:t xml:space="preserve"> 79</w:t>
      </w:r>
      <w:proofErr w:type="gramStart"/>
      <w:r w:rsidR="00AF5B60">
        <w:rPr>
          <w:rFonts w:ascii="Times New Roman" w:hAnsi="Times New Roman" w:cs="Times New Roman"/>
          <w:sz w:val="24"/>
          <w:szCs w:val="24"/>
        </w:rPr>
        <w:t>,2</w:t>
      </w:r>
      <w:proofErr w:type="gramEnd"/>
      <w:r>
        <w:rPr>
          <w:rFonts w:ascii="Times New Roman" w:hAnsi="Times New Roman" w:cs="Times New Roman"/>
          <w:sz w:val="24"/>
          <w:szCs w:val="24"/>
        </w:rPr>
        <w:t>(</w:t>
      </w:r>
      <w:r w:rsidR="00AF5B60">
        <w:rPr>
          <w:rFonts w:ascii="Times New Roman" w:hAnsi="Times New Roman" w:cs="Times New Roman"/>
          <w:sz w:val="24"/>
          <w:szCs w:val="24"/>
        </w:rPr>
        <w:t>2003</w:t>
      </w:r>
      <w:r>
        <w:rPr>
          <w:rFonts w:ascii="Times New Roman" w:hAnsi="Times New Roman" w:cs="Times New Roman"/>
          <w:sz w:val="24"/>
          <w:szCs w:val="24"/>
        </w:rPr>
        <w:t>):292-308.</w:t>
      </w:r>
    </w:p>
    <w:p w:rsidR="001A6130" w:rsidRDefault="001A6130" w:rsidP="001A6130">
      <w:pPr>
        <w:autoSpaceDE w:val="0"/>
        <w:autoSpaceDN w:val="0"/>
        <w:adjustRightInd w:val="0"/>
        <w:spacing w:after="0" w:line="240" w:lineRule="auto"/>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Dziegielewski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Benedykt</w:t>
      </w:r>
      <w:proofErr w:type="spellEnd"/>
      <w:r>
        <w:rPr>
          <w:rFonts w:ascii="Times New Roman" w:hAnsi="Times New Roman" w:cs="Times New Roman"/>
          <w:sz w:val="24"/>
          <w:szCs w:val="24"/>
        </w:rPr>
        <w:t xml:space="preserve"> and Eva </w:t>
      </w:r>
      <w:proofErr w:type="spellStart"/>
      <w:r>
        <w:rPr>
          <w:rFonts w:ascii="Times New Roman" w:hAnsi="Times New Roman" w:cs="Times New Roman"/>
          <w:sz w:val="24"/>
          <w:szCs w:val="24"/>
        </w:rPr>
        <w:t>Opitz</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Municipal and Industrial Water use in the Metropolitan Water District Service Area, Interim Report No. 4. </w:t>
      </w:r>
      <w:proofErr w:type="gramStart"/>
      <w:r>
        <w:rPr>
          <w:rFonts w:ascii="Times New Roman" w:hAnsi="Times New Roman" w:cs="Times New Roman"/>
          <w:sz w:val="24"/>
          <w:szCs w:val="24"/>
        </w:rPr>
        <w:t>Prepared for the Metropolitan Water District of Southern California, Los Angeles.</w:t>
      </w:r>
      <w:proofErr w:type="gramEnd"/>
      <w:r>
        <w:rPr>
          <w:rFonts w:ascii="Times New Roman" w:hAnsi="Times New Roman" w:cs="Times New Roman"/>
          <w:sz w:val="24"/>
          <w:szCs w:val="24"/>
        </w:rPr>
        <w:t xml:space="preserve"> Planning and Management Consultants, </w:t>
      </w:r>
      <w:proofErr w:type="spellStart"/>
      <w:r>
        <w:rPr>
          <w:rFonts w:ascii="Times New Roman" w:hAnsi="Times New Roman" w:cs="Times New Roman"/>
          <w:sz w:val="24"/>
          <w:szCs w:val="24"/>
        </w:rPr>
        <w:t>Ltd.</w:t>
      </w:r>
      <w:proofErr w:type="gramStart"/>
      <w:r>
        <w:rPr>
          <w:rFonts w:ascii="Times New Roman" w:hAnsi="Times New Roman" w:cs="Times New Roman"/>
          <w:sz w:val="24"/>
          <w:szCs w:val="24"/>
        </w:rPr>
        <w:t>,Carbondale</w:t>
      </w:r>
      <w:proofErr w:type="spellEnd"/>
      <w:proofErr w:type="gramEnd"/>
      <w:r>
        <w:rPr>
          <w:rFonts w:ascii="Times New Roman" w:hAnsi="Times New Roman" w:cs="Times New Roman"/>
          <w:sz w:val="24"/>
          <w:szCs w:val="24"/>
        </w:rPr>
        <w:t>, IL, June</w:t>
      </w:r>
      <w:r w:rsidR="00AF5B60">
        <w:rPr>
          <w:rFonts w:ascii="Times New Roman" w:hAnsi="Times New Roman" w:cs="Times New Roman"/>
          <w:sz w:val="24"/>
          <w:szCs w:val="24"/>
        </w:rPr>
        <w:t xml:space="preserve"> 1991</w:t>
      </w:r>
      <w:r>
        <w:rPr>
          <w:rFonts w:ascii="Times New Roman" w:hAnsi="Times New Roman" w:cs="Times New Roman"/>
          <w:sz w:val="24"/>
          <w:szCs w:val="24"/>
        </w:rPr>
        <w:t>.</w:t>
      </w:r>
    </w:p>
    <w:p w:rsidR="001A6130" w:rsidRDefault="001A6130" w:rsidP="001A6130">
      <w:pPr>
        <w:autoSpaceDE w:val="0"/>
        <w:autoSpaceDN w:val="0"/>
        <w:adjustRightInd w:val="0"/>
        <w:spacing w:after="0" w:line="240" w:lineRule="auto"/>
        <w:ind w:left="720"/>
        <w:rPr>
          <w:rFonts w:ascii="Times New Roman" w:hAnsi="Times New Roman" w:cs="Times New Roman"/>
          <w:sz w:val="24"/>
          <w:szCs w:val="24"/>
        </w:rPr>
      </w:pPr>
    </w:p>
    <w:p w:rsidR="00BE5B18" w:rsidRDefault="009262F4" w:rsidP="009E69A1">
      <w:pPr>
        <w:ind w:left="720"/>
        <w:rPr>
          <w:rFonts w:ascii="Times New Roman" w:hAnsi="Times New Roman" w:cs="Times New Roman"/>
          <w:sz w:val="24"/>
          <w:szCs w:val="24"/>
        </w:rPr>
      </w:pPr>
      <w:proofErr w:type="spellStart"/>
      <w:r>
        <w:rPr>
          <w:rFonts w:ascii="Times New Roman" w:hAnsi="Times New Roman" w:cs="Times New Roman"/>
          <w:sz w:val="24"/>
          <w:szCs w:val="24"/>
        </w:rPr>
        <w:t>Gaudin</w:t>
      </w:r>
      <w:proofErr w:type="spellEnd"/>
      <w:r>
        <w:rPr>
          <w:rFonts w:ascii="Times New Roman" w:hAnsi="Times New Roman" w:cs="Times New Roman"/>
          <w:sz w:val="24"/>
          <w:szCs w:val="24"/>
        </w:rPr>
        <w:t>, S. “Effect of Price Information on Residential Water Demand</w:t>
      </w:r>
      <w:r w:rsidR="000170F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Applied Economics</w:t>
      </w:r>
      <w:r>
        <w:rPr>
          <w:rFonts w:ascii="Times New Roman" w:hAnsi="Times New Roman" w:cs="Times New Roman"/>
          <w:sz w:val="24"/>
          <w:szCs w:val="24"/>
        </w:rPr>
        <w:t xml:space="preserve"> 38</w:t>
      </w:r>
      <w:r w:rsidR="00AF5B60">
        <w:rPr>
          <w:rFonts w:ascii="Times New Roman" w:hAnsi="Times New Roman" w:cs="Times New Roman"/>
          <w:sz w:val="24"/>
          <w:szCs w:val="24"/>
        </w:rPr>
        <w:t>,4</w:t>
      </w:r>
      <w:r>
        <w:rPr>
          <w:rFonts w:ascii="Times New Roman" w:hAnsi="Times New Roman" w:cs="Times New Roman"/>
          <w:sz w:val="24"/>
          <w:szCs w:val="24"/>
        </w:rPr>
        <w:t>(</w:t>
      </w:r>
      <w:r w:rsidR="00AF5B60">
        <w:rPr>
          <w:rFonts w:ascii="Times New Roman" w:hAnsi="Times New Roman" w:cs="Times New Roman"/>
          <w:sz w:val="24"/>
          <w:szCs w:val="24"/>
        </w:rPr>
        <w:t>2006</w:t>
      </w:r>
      <w:r>
        <w:rPr>
          <w:rFonts w:ascii="Times New Roman" w:hAnsi="Times New Roman" w:cs="Times New Roman"/>
          <w:sz w:val="24"/>
          <w:szCs w:val="24"/>
        </w:rPr>
        <w:t>):383-393.</w:t>
      </w:r>
    </w:p>
    <w:p w:rsidR="009E69A1" w:rsidRDefault="00FD032D" w:rsidP="009E69A1">
      <w:pPr>
        <w:ind w:left="720"/>
        <w:rPr>
          <w:rFonts w:ascii="Times New Roman" w:hAnsi="Times New Roman" w:cs="Times New Roman"/>
          <w:sz w:val="24"/>
          <w:szCs w:val="24"/>
        </w:rPr>
      </w:pPr>
      <w:proofErr w:type="gramStart"/>
      <w:r>
        <w:rPr>
          <w:rFonts w:ascii="Times New Roman" w:hAnsi="Times New Roman" w:cs="Times New Roman"/>
          <w:sz w:val="24"/>
          <w:szCs w:val="24"/>
        </w:rPr>
        <w:t>Howell, T. “Irrigation Efficiency</w:t>
      </w:r>
      <w:r w:rsidR="000170F7">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Encyclopedia of Water Science</w:t>
      </w:r>
      <w:r>
        <w:rPr>
          <w:rFonts w:ascii="Times New Roman" w:hAnsi="Times New Roman" w:cs="Times New Roman"/>
          <w:sz w:val="24"/>
          <w:szCs w:val="24"/>
        </w:rPr>
        <w:t>, Marcel Dekker, Inc., New York, NY.</w:t>
      </w:r>
    </w:p>
    <w:p w:rsidR="001D319E" w:rsidRPr="001D319E" w:rsidRDefault="001D319E" w:rsidP="000C092E">
      <w:pPr>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Kanno</w:t>
      </w:r>
      <w:proofErr w:type="spellEnd"/>
      <w:r>
        <w:rPr>
          <w:rFonts w:ascii="Times New Roman" w:hAnsi="Times New Roman" w:cs="Times New Roman"/>
          <w:sz w:val="24"/>
          <w:szCs w:val="24"/>
        </w:rPr>
        <w:t xml:space="preserve">, Y. and J. </w:t>
      </w:r>
      <w:proofErr w:type="spellStart"/>
      <w:r>
        <w:rPr>
          <w:rFonts w:ascii="Times New Roman" w:hAnsi="Times New Roman" w:cs="Times New Roman"/>
          <w:sz w:val="24"/>
          <w:szCs w:val="24"/>
        </w:rPr>
        <w:t>Vokoun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2010. “Evaluating Effects of Water Withdrawals and Impoundments on Fish Assemblages in Southern New England Streams, USA</w:t>
      </w:r>
      <w:r w:rsidR="000170F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Fisheries Management and Ecology</w:t>
      </w:r>
      <w:r>
        <w:rPr>
          <w:rFonts w:ascii="Times New Roman" w:hAnsi="Times New Roman" w:cs="Times New Roman"/>
          <w:sz w:val="24"/>
          <w:szCs w:val="24"/>
        </w:rPr>
        <w:t xml:space="preserve"> 17</w:t>
      </w:r>
      <w:proofErr w:type="gramStart"/>
      <w:r w:rsidR="00AF5B60">
        <w:rPr>
          <w:rFonts w:ascii="Times New Roman" w:hAnsi="Times New Roman" w:cs="Times New Roman"/>
          <w:sz w:val="24"/>
          <w:szCs w:val="24"/>
        </w:rPr>
        <w:t>,3</w:t>
      </w:r>
      <w:proofErr w:type="gramEnd"/>
      <w:r>
        <w:rPr>
          <w:rFonts w:ascii="Times New Roman" w:hAnsi="Times New Roman" w:cs="Times New Roman"/>
          <w:sz w:val="24"/>
          <w:szCs w:val="24"/>
        </w:rPr>
        <w:t>(</w:t>
      </w:r>
      <w:r w:rsidR="00AF5B60">
        <w:rPr>
          <w:rFonts w:ascii="Times New Roman" w:hAnsi="Times New Roman" w:cs="Times New Roman"/>
          <w:sz w:val="24"/>
          <w:szCs w:val="24"/>
        </w:rPr>
        <w:t>2003</w:t>
      </w:r>
      <w:r>
        <w:rPr>
          <w:rFonts w:ascii="Times New Roman" w:hAnsi="Times New Roman" w:cs="Times New Roman"/>
          <w:sz w:val="24"/>
          <w:szCs w:val="24"/>
        </w:rPr>
        <w:t>):272-283.</w:t>
      </w:r>
    </w:p>
    <w:p w:rsidR="000C092E" w:rsidRDefault="000C092E" w:rsidP="000C092E">
      <w:pPr>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Kieffer</w:t>
      </w:r>
      <w:proofErr w:type="spellEnd"/>
      <w:r>
        <w:rPr>
          <w:rFonts w:ascii="Times New Roman" w:hAnsi="Times New Roman" w:cs="Times New Roman"/>
          <w:sz w:val="24"/>
          <w:szCs w:val="24"/>
        </w:rPr>
        <w:t xml:space="preserve">, J. and B. </w:t>
      </w:r>
      <w:proofErr w:type="spellStart"/>
      <w:r>
        <w:rPr>
          <w:rFonts w:ascii="Times New Roman" w:hAnsi="Times New Roman" w:cs="Times New Roman"/>
          <w:sz w:val="24"/>
          <w:szCs w:val="24"/>
        </w:rPr>
        <w:t>Diezielewski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Analysis of Residential Landscape Irrigation in Southern California.  Research Report prepared for Metropolitan Water District of Southern California, Los Angeles, CA, </w:t>
      </w:r>
      <w:proofErr w:type="gramStart"/>
      <w:r>
        <w:rPr>
          <w:rFonts w:ascii="Times New Roman" w:hAnsi="Times New Roman" w:cs="Times New Roman"/>
          <w:sz w:val="24"/>
          <w:szCs w:val="24"/>
        </w:rPr>
        <w:t>December</w:t>
      </w:r>
      <w:proofErr w:type="gramEnd"/>
      <w:r w:rsidR="00AF5B60">
        <w:rPr>
          <w:rFonts w:ascii="Times New Roman" w:hAnsi="Times New Roman" w:cs="Times New Roman"/>
          <w:sz w:val="24"/>
          <w:szCs w:val="24"/>
        </w:rPr>
        <w:t xml:space="preserve"> 1991</w:t>
      </w:r>
      <w:r>
        <w:rPr>
          <w:rFonts w:ascii="Times New Roman" w:hAnsi="Times New Roman" w:cs="Times New Roman"/>
          <w:sz w:val="24"/>
          <w:szCs w:val="24"/>
        </w:rPr>
        <w:t>.</w:t>
      </w:r>
    </w:p>
    <w:p w:rsidR="009E69A1" w:rsidRPr="009E69A1" w:rsidRDefault="009E69A1" w:rsidP="009E69A1">
      <w:pPr>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Latif</w:t>
      </w:r>
      <w:proofErr w:type="spellEnd"/>
      <w:r>
        <w:rPr>
          <w:rFonts w:ascii="Times New Roman" w:hAnsi="Times New Roman" w:cs="Times New Roman"/>
          <w:sz w:val="24"/>
          <w:szCs w:val="24"/>
        </w:rPr>
        <w:t>, M. and F. Ahmad.</w:t>
      </w:r>
      <w:proofErr w:type="gramEnd"/>
      <w:r>
        <w:rPr>
          <w:rFonts w:ascii="Times New Roman" w:hAnsi="Times New Roman" w:cs="Times New Roman"/>
          <w:sz w:val="24"/>
          <w:szCs w:val="24"/>
        </w:rPr>
        <w:t xml:space="preserve"> “Operational Analysis of Water Applications of a Sprinkler Irrigation System Installed in a Golf Course: Case Study</w:t>
      </w:r>
      <w:r w:rsidR="000170F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Journal of Irrigation and Drainage Engineering</w:t>
      </w:r>
      <w:r>
        <w:rPr>
          <w:rFonts w:ascii="Times New Roman" w:hAnsi="Times New Roman" w:cs="Times New Roman"/>
          <w:sz w:val="24"/>
          <w:szCs w:val="24"/>
        </w:rPr>
        <w:t xml:space="preserve"> 134</w:t>
      </w:r>
      <w:proofErr w:type="gramStart"/>
      <w:r w:rsidR="00AF5B60">
        <w:rPr>
          <w:rFonts w:ascii="Times New Roman" w:hAnsi="Times New Roman" w:cs="Times New Roman"/>
          <w:sz w:val="24"/>
          <w:szCs w:val="24"/>
        </w:rPr>
        <w:t>,4</w:t>
      </w:r>
      <w:proofErr w:type="gramEnd"/>
      <w:r>
        <w:rPr>
          <w:rFonts w:ascii="Times New Roman" w:hAnsi="Times New Roman" w:cs="Times New Roman"/>
          <w:sz w:val="24"/>
          <w:szCs w:val="24"/>
        </w:rPr>
        <w:t>(</w:t>
      </w:r>
      <w:r w:rsidR="00AF5B60">
        <w:rPr>
          <w:rFonts w:ascii="Times New Roman" w:hAnsi="Times New Roman" w:cs="Times New Roman"/>
          <w:sz w:val="24"/>
          <w:szCs w:val="24"/>
        </w:rPr>
        <w:t>2008</w:t>
      </w:r>
      <w:r>
        <w:rPr>
          <w:rFonts w:ascii="Times New Roman" w:hAnsi="Times New Roman" w:cs="Times New Roman"/>
          <w:sz w:val="24"/>
          <w:szCs w:val="24"/>
        </w:rPr>
        <w:t>): 446-453.</w:t>
      </w:r>
    </w:p>
    <w:p w:rsidR="008C62A0" w:rsidRPr="00FE608B" w:rsidRDefault="008C62A0" w:rsidP="00084DCC">
      <w:pPr>
        <w:ind w:left="720"/>
        <w:rPr>
          <w:rFonts w:ascii="Times New Roman" w:hAnsi="Times New Roman" w:cs="Times New Roman"/>
          <w:sz w:val="24"/>
          <w:szCs w:val="24"/>
        </w:rPr>
      </w:pPr>
      <w:proofErr w:type="gramStart"/>
      <w:r>
        <w:rPr>
          <w:rFonts w:ascii="Times New Roman" w:hAnsi="Times New Roman" w:cs="Times New Roman"/>
          <w:sz w:val="24"/>
          <w:szCs w:val="24"/>
        </w:rPr>
        <w:t xml:space="preserve">Martinez-Cob, A., E. </w:t>
      </w:r>
      <w:proofErr w:type="spellStart"/>
      <w:r>
        <w:rPr>
          <w:rFonts w:ascii="Times New Roman" w:hAnsi="Times New Roman" w:cs="Times New Roman"/>
          <w:sz w:val="24"/>
          <w:szCs w:val="24"/>
        </w:rPr>
        <w:t>Playan</w:t>
      </w:r>
      <w:proofErr w:type="spellEnd"/>
      <w:r>
        <w:rPr>
          <w:rFonts w:ascii="Times New Roman" w:hAnsi="Times New Roman" w:cs="Times New Roman"/>
          <w:sz w:val="24"/>
          <w:szCs w:val="24"/>
        </w:rPr>
        <w:t xml:space="preserve">, N. Zapata, J. </w:t>
      </w:r>
      <w:proofErr w:type="spellStart"/>
      <w:r>
        <w:rPr>
          <w:rFonts w:ascii="Times New Roman" w:hAnsi="Times New Roman" w:cs="Times New Roman"/>
          <w:sz w:val="24"/>
          <w:szCs w:val="24"/>
        </w:rPr>
        <w:t>Cavero</w:t>
      </w:r>
      <w:proofErr w:type="spellEnd"/>
      <w:r>
        <w:rPr>
          <w:rFonts w:ascii="Times New Roman" w:hAnsi="Times New Roman" w:cs="Times New Roman"/>
          <w:sz w:val="24"/>
          <w:szCs w:val="24"/>
        </w:rPr>
        <w:t xml:space="preserve">, E. Medina, and M. </w:t>
      </w:r>
      <w:proofErr w:type="spellStart"/>
      <w:r>
        <w:rPr>
          <w:rFonts w:ascii="Times New Roman" w:hAnsi="Times New Roman" w:cs="Times New Roman"/>
          <w:sz w:val="24"/>
          <w:szCs w:val="24"/>
        </w:rPr>
        <w:t>Puig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“Contribution of </w:t>
      </w:r>
      <w:proofErr w:type="spellStart"/>
      <w:r>
        <w:rPr>
          <w:rFonts w:ascii="Times New Roman" w:hAnsi="Times New Roman" w:cs="Times New Roman"/>
          <w:sz w:val="24"/>
          <w:szCs w:val="24"/>
        </w:rPr>
        <w:t>Evapotranspiration</w:t>
      </w:r>
      <w:proofErr w:type="spellEnd"/>
      <w:r>
        <w:rPr>
          <w:rFonts w:ascii="Times New Roman" w:hAnsi="Times New Roman" w:cs="Times New Roman"/>
          <w:sz w:val="24"/>
          <w:szCs w:val="24"/>
        </w:rPr>
        <w:t xml:space="preserve"> Reduction during Solid-Set Sprinkler Irrigation to Application Efficiency</w:t>
      </w:r>
      <w:r w:rsidR="000170F7">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E608B">
        <w:rPr>
          <w:rFonts w:ascii="Times New Roman" w:hAnsi="Times New Roman" w:cs="Times New Roman"/>
          <w:i/>
          <w:sz w:val="24"/>
          <w:szCs w:val="24"/>
        </w:rPr>
        <w:t>Journal of Irrigation Drainage and Engineering</w:t>
      </w:r>
      <w:r w:rsidR="00FE608B">
        <w:rPr>
          <w:rFonts w:ascii="Times New Roman" w:hAnsi="Times New Roman" w:cs="Times New Roman"/>
          <w:sz w:val="24"/>
          <w:szCs w:val="24"/>
        </w:rPr>
        <w:t xml:space="preserve"> 134</w:t>
      </w:r>
      <w:r w:rsidR="00AF5B60">
        <w:rPr>
          <w:rFonts w:ascii="Times New Roman" w:hAnsi="Times New Roman" w:cs="Times New Roman"/>
          <w:sz w:val="24"/>
          <w:szCs w:val="24"/>
        </w:rPr>
        <w:t>(2008).</w:t>
      </w:r>
    </w:p>
    <w:p w:rsidR="00B65EDF" w:rsidRPr="001A6130" w:rsidRDefault="00B65EDF" w:rsidP="00084DCC">
      <w:pPr>
        <w:ind w:left="720"/>
        <w:rPr>
          <w:rFonts w:ascii="Times New Roman" w:hAnsi="Times New Roman" w:cs="Times New Roman"/>
          <w:sz w:val="24"/>
          <w:szCs w:val="24"/>
        </w:rPr>
      </w:pPr>
      <w:proofErr w:type="gramStart"/>
      <w:r>
        <w:rPr>
          <w:rFonts w:ascii="Times New Roman" w:hAnsi="Times New Roman" w:cs="Times New Roman"/>
          <w:sz w:val="24"/>
          <w:szCs w:val="24"/>
        </w:rPr>
        <w:t>Mullen</w:t>
      </w:r>
      <w:r w:rsidR="001A6130">
        <w:rPr>
          <w:rFonts w:ascii="Times New Roman" w:hAnsi="Times New Roman" w:cs="Times New Roman"/>
          <w:sz w:val="24"/>
          <w:szCs w:val="24"/>
        </w:rPr>
        <w:t xml:space="preserve">, J.D., Y. Yu, and G. </w:t>
      </w:r>
      <w:proofErr w:type="spellStart"/>
      <w:r w:rsidR="001A6130">
        <w:rPr>
          <w:rFonts w:ascii="Times New Roman" w:hAnsi="Times New Roman" w:cs="Times New Roman"/>
          <w:sz w:val="24"/>
          <w:szCs w:val="24"/>
        </w:rPr>
        <w:t>Hoogenboom</w:t>
      </w:r>
      <w:proofErr w:type="spellEnd"/>
      <w:r w:rsidR="001A6130">
        <w:rPr>
          <w:rFonts w:ascii="Times New Roman" w:hAnsi="Times New Roman" w:cs="Times New Roman"/>
          <w:sz w:val="24"/>
          <w:szCs w:val="24"/>
        </w:rPr>
        <w:t>.</w:t>
      </w:r>
      <w:proofErr w:type="gramEnd"/>
      <w:r w:rsidR="001A6130">
        <w:rPr>
          <w:rFonts w:ascii="Times New Roman" w:hAnsi="Times New Roman" w:cs="Times New Roman"/>
          <w:sz w:val="24"/>
          <w:szCs w:val="24"/>
        </w:rPr>
        <w:t xml:space="preserve"> </w:t>
      </w:r>
      <w:proofErr w:type="gramStart"/>
      <w:r w:rsidR="001A6130">
        <w:rPr>
          <w:rFonts w:ascii="Times New Roman" w:hAnsi="Times New Roman" w:cs="Times New Roman"/>
          <w:sz w:val="24"/>
          <w:szCs w:val="24"/>
        </w:rPr>
        <w:t>“Estimating the Demand for Irrigation Water in a Humid Climate: A Case Study from the Southeastern United States</w:t>
      </w:r>
      <w:r w:rsidR="000170F7">
        <w:rPr>
          <w:rFonts w:ascii="Times New Roman" w:hAnsi="Times New Roman" w:cs="Times New Roman"/>
          <w:sz w:val="24"/>
          <w:szCs w:val="24"/>
        </w:rPr>
        <w:t>.</w:t>
      </w:r>
      <w:r w:rsidR="001A6130">
        <w:rPr>
          <w:rFonts w:ascii="Times New Roman" w:hAnsi="Times New Roman" w:cs="Times New Roman"/>
          <w:sz w:val="24"/>
          <w:szCs w:val="24"/>
        </w:rPr>
        <w:t>”</w:t>
      </w:r>
      <w:proofErr w:type="gramEnd"/>
      <w:r w:rsidR="001A6130">
        <w:rPr>
          <w:rFonts w:ascii="Times New Roman" w:hAnsi="Times New Roman" w:cs="Times New Roman"/>
          <w:sz w:val="24"/>
          <w:szCs w:val="24"/>
        </w:rPr>
        <w:t xml:space="preserve"> </w:t>
      </w:r>
      <w:r w:rsidR="001A6130">
        <w:rPr>
          <w:rFonts w:ascii="Times New Roman" w:hAnsi="Times New Roman" w:cs="Times New Roman"/>
          <w:i/>
          <w:sz w:val="24"/>
          <w:szCs w:val="24"/>
        </w:rPr>
        <w:t>Agricultural Water Management</w:t>
      </w:r>
      <w:r w:rsidR="001A6130">
        <w:rPr>
          <w:rFonts w:ascii="Times New Roman" w:hAnsi="Times New Roman" w:cs="Times New Roman"/>
          <w:sz w:val="24"/>
          <w:szCs w:val="24"/>
        </w:rPr>
        <w:t xml:space="preserve"> 96</w:t>
      </w:r>
      <w:r w:rsidR="00AF5B60">
        <w:rPr>
          <w:rFonts w:ascii="Times New Roman" w:hAnsi="Times New Roman" w:cs="Times New Roman"/>
          <w:sz w:val="24"/>
          <w:szCs w:val="24"/>
        </w:rPr>
        <w:t>(2009)</w:t>
      </w:r>
      <w:r w:rsidR="001A6130">
        <w:rPr>
          <w:rFonts w:ascii="Times New Roman" w:hAnsi="Times New Roman" w:cs="Times New Roman"/>
          <w:sz w:val="24"/>
          <w:szCs w:val="24"/>
        </w:rPr>
        <w:t>: 1421-1428.</w:t>
      </w:r>
    </w:p>
    <w:p w:rsidR="00B60EDD" w:rsidRDefault="00B60EDD" w:rsidP="00084DCC">
      <w:pPr>
        <w:ind w:left="720"/>
        <w:rPr>
          <w:rFonts w:ascii="Times New Roman" w:hAnsi="Times New Roman" w:cs="Times New Roman"/>
          <w:sz w:val="24"/>
          <w:szCs w:val="24"/>
        </w:rPr>
      </w:pPr>
      <w:r>
        <w:rPr>
          <w:rFonts w:ascii="Times New Roman" w:hAnsi="Times New Roman" w:cs="Times New Roman"/>
          <w:sz w:val="24"/>
          <w:szCs w:val="24"/>
        </w:rPr>
        <w:t xml:space="preserve">Planning and Management Consultants, Ltd. </w:t>
      </w:r>
      <w:r w:rsidRPr="00B60EDD">
        <w:rPr>
          <w:rFonts w:ascii="Times New Roman" w:hAnsi="Times New Roman" w:cs="Times New Roman"/>
          <w:sz w:val="24"/>
          <w:szCs w:val="24"/>
          <w:u w:val="single"/>
        </w:rPr>
        <w:t>IWR-MAIN Water Demand</w:t>
      </w:r>
      <w:r>
        <w:rPr>
          <w:rFonts w:ascii="Times New Roman" w:hAnsi="Times New Roman" w:cs="Times New Roman"/>
          <w:sz w:val="24"/>
          <w:szCs w:val="24"/>
          <w:u w:val="single"/>
        </w:rPr>
        <w:t xml:space="preserve"> Analysis Software: Technical Overview</w:t>
      </w:r>
      <w:r>
        <w:rPr>
          <w:rFonts w:ascii="Times New Roman" w:hAnsi="Times New Roman" w:cs="Times New Roman"/>
          <w:sz w:val="24"/>
          <w:szCs w:val="24"/>
        </w:rPr>
        <w:t xml:space="preserve">. Carbondale, </w:t>
      </w:r>
      <w:proofErr w:type="gramStart"/>
      <w:r>
        <w:rPr>
          <w:rFonts w:ascii="Times New Roman" w:hAnsi="Times New Roman" w:cs="Times New Roman"/>
          <w:sz w:val="24"/>
          <w:szCs w:val="24"/>
        </w:rPr>
        <w:t>Il.</w:t>
      </w:r>
      <w:r w:rsidR="00AF5B60">
        <w:rPr>
          <w:rFonts w:ascii="Times New Roman" w:hAnsi="Times New Roman" w:cs="Times New Roman"/>
          <w:sz w:val="24"/>
          <w:szCs w:val="24"/>
        </w:rPr>
        <w:t>,</w:t>
      </w:r>
      <w:proofErr w:type="gramEnd"/>
      <w:r w:rsidR="00AF5B60">
        <w:rPr>
          <w:rFonts w:ascii="Times New Roman" w:hAnsi="Times New Roman" w:cs="Times New Roman"/>
          <w:sz w:val="24"/>
          <w:szCs w:val="24"/>
        </w:rPr>
        <w:t xml:space="preserve"> 1996.</w:t>
      </w:r>
    </w:p>
    <w:p w:rsidR="008C62A0" w:rsidRDefault="008C62A0" w:rsidP="008C62A0">
      <w:pPr>
        <w:ind w:left="720"/>
        <w:rPr>
          <w:rFonts w:ascii="Times New Roman" w:hAnsi="Times New Roman" w:cs="Times New Roman"/>
          <w:sz w:val="24"/>
          <w:szCs w:val="24"/>
        </w:rPr>
      </w:pPr>
      <w:proofErr w:type="spellStart"/>
      <w:r>
        <w:rPr>
          <w:rFonts w:ascii="Times New Roman" w:hAnsi="Times New Roman" w:cs="Times New Roman"/>
          <w:sz w:val="24"/>
          <w:szCs w:val="24"/>
        </w:rPr>
        <w:t>Playan</w:t>
      </w:r>
      <w:proofErr w:type="spellEnd"/>
      <w:r>
        <w:rPr>
          <w:rFonts w:ascii="Times New Roman" w:hAnsi="Times New Roman" w:cs="Times New Roman"/>
          <w:sz w:val="24"/>
          <w:szCs w:val="24"/>
        </w:rPr>
        <w:t xml:space="preserve">, </w:t>
      </w:r>
      <w:r w:rsidR="00FE608B">
        <w:rPr>
          <w:rFonts w:ascii="Times New Roman" w:hAnsi="Times New Roman" w:cs="Times New Roman"/>
          <w:sz w:val="24"/>
          <w:szCs w:val="24"/>
        </w:rPr>
        <w:t xml:space="preserve">E., R. Salvador, J. </w:t>
      </w:r>
      <w:proofErr w:type="spellStart"/>
      <w:r w:rsidR="00FE608B">
        <w:rPr>
          <w:rFonts w:ascii="Times New Roman" w:hAnsi="Times New Roman" w:cs="Times New Roman"/>
          <w:sz w:val="24"/>
          <w:szCs w:val="24"/>
        </w:rPr>
        <w:t>Faci</w:t>
      </w:r>
      <w:proofErr w:type="spellEnd"/>
      <w:r w:rsidR="00FE608B">
        <w:rPr>
          <w:rFonts w:ascii="Times New Roman" w:hAnsi="Times New Roman" w:cs="Times New Roman"/>
          <w:sz w:val="24"/>
          <w:szCs w:val="24"/>
        </w:rPr>
        <w:t>, N. Zapata, A. Martinez-Cob, and I. Sanchez</w:t>
      </w:r>
      <w:proofErr w:type="gramStart"/>
      <w:r w:rsidR="00FE608B">
        <w:rPr>
          <w:rFonts w:ascii="Times New Roman" w:hAnsi="Times New Roman" w:cs="Times New Roman"/>
          <w:sz w:val="24"/>
          <w:szCs w:val="24"/>
        </w:rPr>
        <w:t>.</w:t>
      </w:r>
      <w:r>
        <w:rPr>
          <w:rFonts w:ascii="Times New Roman" w:hAnsi="Times New Roman" w:cs="Times New Roman"/>
          <w:sz w:val="24"/>
          <w:szCs w:val="24"/>
        </w:rPr>
        <w:t>.</w:t>
      </w:r>
      <w:proofErr w:type="gramEnd"/>
      <w:r w:rsidR="00FE608B">
        <w:rPr>
          <w:rFonts w:ascii="Times New Roman" w:hAnsi="Times New Roman" w:cs="Times New Roman"/>
          <w:sz w:val="24"/>
          <w:szCs w:val="24"/>
        </w:rPr>
        <w:t xml:space="preserve"> </w:t>
      </w:r>
      <w:proofErr w:type="gramStart"/>
      <w:r w:rsidR="00FE608B">
        <w:rPr>
          <w:rFonts w:ascii="Times New Roman" w:hAnsi="Times New Roman" w:cs="Times New Roman"/>
          <w:sz w:val="24"/>
          <w:szCs w:val="24"/>
        </w:rPr>
        <w:t>“Day and Night Wind and Drift and Evaporation Loss in Sprinkler Solid-Sets and Moving Laterals</w:t>
      </w:r>
      <w:r w:rsidR="000170F7">
        <w:rPr>
          <w:rFonts w:ascii="Times New Roman" w:hAnsi="Times New Roman" w:cs="Times New Roman"/>
          <w:sz w:val="24"/>
          <w:szCs w:val="24"/>
        </w:rPr>
        <w:t>.</w:t>
      </w:r>
      <w:r w:rsidR="00FE608B">
        <w:rPr>
          <w:rFonts w:ascii="Times New Roman" w:hAnsi="Times New Roman" w:cs="Times New Roman"/>
          <w:sz w:val="24"/>
          <w:szCs w:val="24"/>
        </w:rPr>
        <w:t>”</w:t>
      </w:r>
      <w:proofErr w:type="gramEnd"/>
      <w:r w:rsidR="00FE608B">
        <w:rPr>
          <w:rFonts w:ascii="Times New Roman" w:hAnsi="Times New Roman" w:cs="Times New Roman"/>
          <w:sz w:val="24"/>
          <w:szCs w:val="24"/>
        </w:rPr>
        <w:t xml:space="preserve"> </w:t>
      </w:r>
      <w:r w:rsidR="00FE608B">
        <w:rPr>
          <w:rFonts w:ascii="Times New Roman" w:hAnsi="Times New Roman" w:cs="Times New Roman"/>
          <w:i/>
          <w:sz w:val="24"/>
          <w:szCs w:val="24"/>
        </w:rPr>
        <w:t>Agricultural Water Management</w:t>
      </w:r>
      <w:r w:rsidR="00FE608B">
        <w:rPr>
          <w:rFonts w:ascii="Times New Roman" w:hAnsi="Times New Roman" w:cs="Times New Roman"/>
          <w:sz w:val="24"/>
          <w:szCs w:val="24"/>
        </w:rPr>
        <w:t xml:space="preserve"> 76</w:t>
      </w:r>
      <w:r w:rsidR="00AF5B60">
        <w:rPr>
          <w:rFonts w:ascii="Times New Roman" w:hAnsi="Times New Roman" w:cs="Times New Roman"/>
          <w:sz w:val="24"/>
          <w:szCs w:val="24"/>
        </w:rPr>
        <w:t>(2005)</w:t>
      </w:r>
      <w:r w:rsidR="00FE608B">
        <w:rPr>
          <w:rFonts w:ascii="Times New Roman" w:hAnsi="Times New Roman" w:cs="Times New Roman"/>
          <w:sz w:val="24"/>
          <w:szCs w:val="24"/>
        </w:rPr>
        <w:t>: 139-159.</w:t>
      </w:r>
    </w:p>
    <w:p w:rsidR="00694F4E" w:rsidRDefault="00694F4E" w:rsidP="008C62A0">
      <w:pPr>
        <w:ind w:left="720"/>
        <w:rPr>
          <w:rFonts w:ascii="Times New Roman" w:hAnsi="Times New Roman" w:cs="Times New Roman"/>
          <w:sz w:val="24"/>
          <w:szCs w:val="24"/>
        </w:rPr>
      </w:pPr>
      <w:proofErr w:type="gramStart"/>
      <w:r>
        <w:rPr>
          <w:rFonts w:ascii="Times New Roman" w:hAnsi="Times New Roman" w:cs="Times New Roman"/>
          <w:sz w:val="24"/>
          <w:szCs w:val="24"/>
        </w:rPr>
        <w:t>Rogers, P., R. de Silva, and R. Bhatia.</w:t>
      </w:r>
      <w:proofErr w:type="gramEnd"/>
      <w:r>
        <w:rPr>
          <w:rFonts w:ascii="Times New Roman" w:hAnsi="Times New Roman" w:cs="Times New Roman"/>
          <w:sz w:val="24"/>
          <w:szCs w:val="24"/>
        </w:rPr>
        <w:t xml:space="preserve"> “Water is an Economic Good: How to Use Prices to Promote Equity, Efficiency, and Sustainability</w:t>
      </w:r>
      <w:r w:rsidR="000170F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Water Policy</w:t>
      </w:r>
      <w:r>
        <w:rPr>
          <w:rFonts w:ascii="Times New Roman" w:hAnsi="Times New Roman" w:cs="Times New Roman"/>
          <w:sz w:val="24"/>
          <w:szCs w:val="24"/>
        </w:rPr>
        <w:t xml:space="preserve"> 4</w:t>
      </w:r>
      <w:r w:rsidR="00AF5B60">
        <w:rPr>
          <w:rFonts w:ascii="Times New Roman" w:hAnsi="Times New Roman" w:cs="Times New Roman"/>
          <w:sz w:val="24"/>
          <w:szCs w:val="24"/>
        </w:rPr>
        <w:t>(2002)</w:t>
      </w:r>
      <w:r>
        <w:rPr>
          <w:rFonts w:ascii="Times New Roman" w:hAnsi="Times New Roman" w:cs="Times New Roman"/>
          <w:sz w:val="24"/>
          <w:szCs w:val="24"/>
        </w:rPr>
        <w:t xml:space="preserve">: 1-17. </w:t>
      </w:r>
    </w:p>
    <w:p w:rsidR="005F169E" w:rsidRPr="005F169E" w:rsidRDefault="005F169E" w:rsidP="008C62A0">
      <w:pPr>
        <w:ind w:left="720"/>
        <w:rPr>
          <w:rFonts w:ascii="Times New Roman" w:hAnsi="Times New Roman" w:cs="Times New Roman"/>
          <w:sz w:val="24"/>
          <w:szCs w:val="24"/>
        </w:rPr>
      </w:pPr>
      <w:proofErr w:type="spellStart"/>
      <w:r>
        <w:rPr>
          <w:rFonts w:ascii="Times New Roman" w:hAnsi="Times New Roman" w:cs="Times New Roman"/>
          <w:sz w:val="24"/>
          <w:szCs w:val="24"/>
        </w:rPr>
        <w:t>Rosegrant</w:t>
      </w:r>
      <w:proofErr w:type="spellEnd"/>
      <w:r>
        <w:rPr>
          <w:rFonts w:ascii="Times New Roman" w:hAnsi="Times New Roman" w:cs="Times New Roman"/>
          <w:sz w:val="24"/>
          <w:szCs w:val="24"/>
        </w:rPr>
        <w:t xml:space="preserve">, M., C. </w:t>
      </w:r>
      <w:proofErr w:type="spellStart"/>
      <w:r>
        <w:rPr>
          <w:rFonts w:ascii="Times New Roman" w:hAnsi="Times New Roman" w:cs="Times New Roman"/>
          <w:sz w:val="24"/>
          <w:szCs w:val="24"/>
        </w:rPr>
        <w:t>R</w:t>
      </w:r>
      <w:r w:rsidR="001D319E">
        <w:rPr>
          <w:rFonts w:ascii="Times New Roman" w:hAnsi="Times New Roman" w:cs="Times New Roman"/>
          <w:sz w:val="24"/>
          <w:szCs w:val="24"/>
        </w:rPr>
        <w:t>i</w:t>
      </w:r>
      <w:r>
        <w:rPr>
          <w:rFonts w:ascii="Times New Roman" w:hAnsi="Times New Roman" w:cs="Times New Roman"/>
          <w:sz w:val="24"/>
          <w:szCs w:val="24"/>
        </w:rPr>
        <w:t>ngler</w:t>
      </w:r>
      <w:proofErr w:type="spellEnd"/>
      <w:r>
        <w:rPr>
          <w:rFonts w:ascii="Times New Roman" w:hAnsi="Times New Roman" w:cs="Times New Roman"/>
          <w:sz w:val="24"/>
          <w:szCs w:val="24"/>
        </w:rPr>
        <w:t xml:space="preserve">, D. McKinney, X. </w:t>
      </w:r>
      <w:proofErr w:type="spellStart"/>
      <w:proofErr w:type="gramStart"/>
      <w:r>
        <w:rPr>
          <w:rFonts w:ascii="Times New Roman" w:hAnsi="Times New Roman" w:cs="Times New Roman"/>
          <w:sz w:val="24"/>
          <w:szCs w:val="24"/>
        </w:rPr>
        <w:t>Cai</w:t>
      </w:r>
      <w:proofErr w:type="spellEnd"/>
      <w:proofErr w:type="gramEnd"/>
      <w:r>
        <w:rPr>
          <w:rFonts w:ascii="Times New Roman" w:hAnsi="Times New Roman" w:cs="Times New Roman"/>
          <w:sz w:val="24"/>
          <w:szCs w:val="24"/>
        </w:rPr>
        <w:t xml:space="preserve">, A. Keller, G. </w:t>
      </w:r>
      <w:proofErr w:type="spellStart"/>
      <w:r>
        <w:rPr>
          <w:rFonts w:ascii="Times New Roman" w:hAnsi="Times New Roman" w:cs="Times New Roman"/>
          <w:sz w:val="24"/>
          <w:szCs w:val="24"/>
        </w:rPr>
        <w:t>Donoso</w:t>
      </w:r>
      <w:proofErr w:type="spellEnd"/>
      <w:r>
        <w:rPr>
          <w:rFonts w:ascii="Times New Roman" w:hAnsi="Times New Roman" w:cs="Times New Roman"/>
          <w:sz w:val="24"/>
          <w:szCs w:val="24"/>
        </w:rPr>
        <w:t xml:space="preserve">. “Integrated </w:t>
      </w:r>
      <w:r w:rsidR="001D319E">
        <w:rPr>
          <w:rFonts w:ascii="Times New Roman" w:hAnsi="Times New Roman" w:cs="Times New Roman"/>
          <w:sz w:val="24"/>
          <w:szCs w:val="24"/>
        </w:rPr>
        <w:t>E</w:t>
      </w:r>
      <w:r>
        <w:rPr>
          <w:rFonts w:ascii="Times New Roman" w:hAnsi="Times New Roman" w:cs="Times New Roman"/>
          <w:sz w:val="24"/>
          <w:szCs w:val="24"/>
        </w:rPr>
        <w:t xml:space="preserve">conomic-Hydrologic Water Modeling at the Basin Scale: the </w:t>
      </w:r>
      <w:proofErr w:type="spellStart"/>
      <w:r>
        <w:rPr>
          <w:rFonts w:ascii="Times New Roman" w:hAnsi="Times New Roman" w:cs="Times New Roman"/>
          <w:sz w:val="24"/>
          <w:szCs w:val="24"/>
        </w:rPr>
        <w:t>Maipo</w:t>
      </w:r>
      <w:proofErr w:type="spellEnd"/>
      <w:r>
        <w:rPr>
          <w:rFonts w:ascii="Times New Roman" w:hAnsi="Times New Roman" w:cs="Times New Roman"/>
          <w:sz w:val="24"/>
          <w:szCs w:val="24"/>
        </w:rPr>
        <w:t xml:space="preserve"> River Basin,” </w:t>
      </w:r>
      <w:r>
        <w:rPr>
          <w:rFonts w:ascii="Times New Roman" w:hAnsi="Times New Roman" w:cs="Times New Roman"/>
          <w:i/>
          <w:sz w:val="24"/>
          <w:szCs w:val="24"/>
        </w:rPr>
        <w:t>Agricultural Economics</w:t>
      </w:r>
      <w:r>
        <w:rPr>
          <w:rFonts w:ascii="Times New Roman" w:hAnsi="Times New Roman" w:cs="Times New Roman"/>
          <w:sz w:val="24"/>
          <w:szCs w:val="24"/>
        </w:rPr>
        <w:t xml:space="preserve"> 24</w:t>
      </w:r>
      <w:r w:rsidR="00AF5B60">
        <w:rPr>
          <w:rFonts w:ascii="Times New Roman" w:hAnsi="Times New Roman" w:cs="Times New Roman"/>
          <w:sz w:val="24"/>
          <w:szCs w:val="24"/>
        </w:rPr>
        <w:t>(2000):</w:t>
      </w:r>
      <w:r>
        <w:rPr>
          <w:rFonts w:ascii="Times New Roman" w:hAnsi="Times New Roman" w:cs="Times New Roman"/>
          <w:sz w:val="24"/>
          <w:szCs w:val="24"/>
        </w:rPr>
        <w:t xml:space="preserve"> 33-46.</w:t>
      </w:r>
    </w:p>
    <w:p w:rsidR="004841FF" w:rsidRPr="004841FF" w:rsidRDefault="004841FF" w:rsidP="008C62A0">
      <w:pPr>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Yacoubi</w:t>
      </w:r>
      <w:proofErr w:type="spellEnd"/>
      <w:r>
        <w:rPr>
          <w:rFonts w:ascii="Times New Roman" w:hAnsi="Times New Roman" w:cs="Times New Roman"/>
          <w:sz w:val="24"/>
          <w:szCs w:val="24"/>
        </w:rPr>
        <w:t xml:space="preserve">, S., K. </w:t>
      </w:r>
      <w:proofErr w:type="spellStart"/>
      <w:r>
        <w:rPr>
          <w:rFonts w:ascii="Times New Roman" w:hAnsi="Times New Roman" w:cs="Times New Roman"/>
          <w:sz w:val="24"/>
          <w:szCs w:val="24"/>
        </w:rPr>
        <w:t>Zayani</w:t>
      </w:r>
      <w:proofErr w:type="spellEnd"/>
      <w:r>
        <w:rPr>
          <w:rFonts w:ascii="Times New Roman" w:hAnsi="Times New Roman" w:cs="Times New Roman"/>
          <w:sz w:val="24"/>
          <w:szCs w:val="24"/>
        </w:rPr>
        <w:t xml:space="preserve">, N. Zapata, A. </w:t>
      </w:r>
      <w:proofErr w:type="spellStart"/>
      <w:r>
        <w:rPr>
          <w:rFonts w:ascii="Times New Roman" w:hAnsi="Times New Roman" w:cs="Times New Roman"/>
          <w:sz w:val="24"/>
          <w:szCs w:val="24"/>
        </w:rPr>
        <w:t>Zairi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Slatni</w:t>
      </w:r>
      <w:proofErr w:type="spellEnd"/>
      <w:r>
        <w:rPr>
          <w:rFonts w:ascii="Times New Roman" w:hAnsi="Times New Roman" w:cs="Times New Roman"/>
          <w:sz w:val="24"/>
          <w:szCs w:val="24"/>
        </w:rPr>
        <w:t xml:space="preserve">, R. Salvador, and E. </w:t>
      </w:r>
      <w:proofErr w:type="spellStart"/>
      <w:r>
        <w:rPr>
          <w:rFonts w:ascii="Times New Roman" w:hAnsi="Times New Roman" w:cs="Times New Roman"/>
          <w:sz w:val="24"/>
          <w:szCs w:val="24"/>
        </w:rPr>
        <w:t>Playan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“Day and Night Time Sprinkler Irrigated Tomato: Irrigation Performance and Crop Yield,” </w:t>
      </w:r>
      <w:proofErr w:type="spellStart"/>
      <w:r>
        <w:rPr>
          <w:rFonts w:ascii="Times New Roman" w:hAnsi="Times New Roman" w:cs="Times New Roman"/>
          <w:i/>
          <w:sz w:val="24"/>
          <w:szCs w:val="24"/>
        </w:rPr>
        <w:t>Biosystems</w:t>
      </w:r>
      <w:proofErr w:type="spellEnd"/>
      <w:r>
        <w:rPr>
          <w:rFonts w:ascii="Times New Roman" w:hAnsi="Times New Roman" w:cs="Times New Roman"/>
          <w:i/>
          <w:sz w:val="24"/>
          <w:szCs w:val="24"/>
        </w:rPr>
        <w:t xml:space="preserve"> Engineering</w:t>
      </w:r>
      <w:r>
        <w:rPr>
          <w:rFonts w:ascii="Times New Roman" w:hAnsi="Times New Roman" w:cs="Times New Roman"/>
          <w:sz w:val="24"/>
          <w:szCs w:val="24"/>
        </w:rPr>
        <w:t xml:space="preserve"> 107</w:t>
      </w:r>
      <w:proofErr w:type="gramStart"/>
      <w:r w:rsidR="00AF5B60">
        <w:rPr>
          <w:rFonts w:ascii="Times New Roman" w:hAnsi="Times New Roman" w:cs="Times New Roman"/>
          <w:sz w:val="24"/>
          <w:szCs w:val="24"/>
        </w:rPr>
        <w:t>,1</w:t>
      </w:r>
      <w:proofErr w:type="gramEnd"/>
      <w:r>
        <w:rPr>
          <w:rFonts w:ascii="Times New Roman" w:hAnsi="Times New Roman" w:cs="Times New Roman"/>
          <w:sz w:val="24"/>
          <w:szCs w:val="24"/>
        </w:rPr>
        <w:t>(</w:t>
      </w:r>
      <w:r w:rsidR="00AF5B60">
        <w:rPr>
          <w:rFonts w:ascii="Times New Roman" w:hAnsi="Times New Roman" w:cs="Times New Roman"/>
          <w:sz w:val="24"/>
          <w:szCs w:val="24"/>
        </w:rPr>
        <w:t>2010</w:t>
      </w:r>
      <w:r>
        <w:rPr>
          <w:rFonts w:ascii="Times New Roman" w:hAnsi="Times New Roman" w:cs="Times New Roman"/>
          <w:sz w:val="24"/>
          <w:szCs w:val="24"/>
        </w:rPr>
        <w:t>):25-35.</w:t>
      </w:r>
    </w:p>
    <w:p w:rsidR="00FD032D" w:rsidRPr="00B60EDD" w:rsidRDefault="00FD032D" w:rsidP="00084DCC">
      <w:pPr>
        <w:ind w:left="720"/>
        <w:rPr>
          <w:rFonts w:ascii="Times New Roman" w:hAnsi="Times New Roman" w:cs="Times New Roman"/>
          <w:sz w:val="24"/>
          <w:szCs w:val="24"/>
        </w:rPr>
      </w:pPr>
    </w:p>
    <w:sectPr w:rsidR="00FD032D" w:rsidRPr="00B60EDD" w:rsidSect="009231F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83D" w:rsidRDefault="0084783D" w:rsidP="000D4239">
      <w:pPr>
        <w:spacing w:after="0" w:line="240" w:lineRule="auto"/>
      </w:pPr>
      <w:r>
        <w:separator/>
      </w:r>
    </w:p>
  </w:endnote>
  <w:endnote w:type="continuationSeparator" w:id="0">
    <w:p w:rsidR="0084783D" w:rsidRDefault="0084783D" w:rsidP="000D42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83D" w:rsidRDefault="0084783D" w:rsidP="000D4239">
      <w:pPr>
        <w:spacing w:after="0" w:line="240" w:lineRule="auto"/>
      </w:pPr>
      <w:r>
        <w:separator/>
      </w:r>
    </w:p>
  </w:footnote>
  <w:footnote w:type="continuationSeparator" w:id="0">
    <w:p w:rsidR="0084783D" w:rsidRDefault="0084783D" w:rsidP="000D4239">
      <w:pPr>
        <w:spacing w:after="0" w:line="240" w:lineRule="auto"/>
      </w:pPr>
      <w:r>
        <w:continuationSeparator/>
      </w:r>
    </w:p>
  </w:footnote>
  <w:footnote w:id="1">
    <w:p w:rsidR="00513C23" w:rsidRDefault="00513C23">
      <w:pPr>
        <w:pStyle w:val="FootnoteText"/>
      </w:pPr>
      <w:r>
        <w:rPr>
          <w:rStyle w:val="FootnoteReference"/>
        </w:rPr>
        <w:footnoteRef/>
      </w:r>
      <w:r>
        <w:t xml:space="preserve"> The other governmental officials included the </w:t>
      </w:r>
      <w:r w:rsidR="00147568">
        <w:t>c</w:t>
      </w:r>
      <w:r>
        <w:t xml:space="preserve">ommissioner of </w:t>
      </w:r>
      <w:r w:rsidR="00147568">
        <w:t>n</w:t>
      </w:r>
      <w:r>
        <w:t xml:space="preserve">atural </w:t>
      </w:r>
      <w:r w:rsidR="00147568">
        <w:t>r</w:t>
      </w:r>
      <w:r>
        <w:t xml:space="preserve">esources, the </w:t>
      </w:r>
      <w:r w:rsidR="00147568">
        <w:t>e</w:t>
      </w:r>
      <w:r>
        <w:t xml:space="preserve">xecutive </w:t>
      </w:r>
      <w:r w:rsidR="00147568">
        <w:t>d</w:t>
      </w:r>
      <w:r>
        <w:t xml:space="preserve">irector of the State Soil and Water Conservation Commission, the </w:t>
      </w:r>
      <w:r w:rsidR="00147568">
        <w:t>c</w:t>
      </w:r>
      <w:r>
        <w:t xml:space="preserve">ommissioner of </w:t>
      </w:r>
      <w:r w:rsidR="00147568">
        <w:t>c</w:t>
      </w:r>
      <w:r>
        <w:t xml:space="preserve">ommunity </w:t>
      </w:r>
      <w:r w:rsidR="00147568">
        <w:t>a</w:t>
      </w:r>
      <w:r>
        <w:t xml:space="preserve">ffairs, the </w:t>
      </w:r>
      <w:r w:rsidR="00147568">
        <w:t>c</w:t>
      </w:r>
      <w:r>
        <w:t xml:space="preserve">ommissioner of </w:t>
      </w:r>
      <w:r w:rsidR="00147568">
        <w:t>h</w:t>
      </w:r>
      <w:r>
        <w:t xml:space="preserve">uman </w:t>
      </w:r>
      <w:r w:rsidR="00147568">
        <w:t>r</w:t>
      </w:r>
      <w:r>
        <w:t xml:space="preserve">esources, the </w:t>
      </w:r>
      <w:r w:rsidR="00147568">
        <w:t>c</w:t>
      </w:r>
      <w:r>
        <w:t xml:space="preserve">ommissioner of </w:t>
      </w:r>
      <w:r w:rsidR="00147568">
        <w:t>a</w:t>
      </w:r>
      <w:r>
        <w:t xml:space="preserve">griculture, the </w:t>
      </w:r>
      <w:r w:rsidR="00147568">
        <w:t>d</w:t>
      </w:r>
      <w:r>
        <w:t xml:space="preserve">irector of the Georgia Forestry Commission, and the </w:t>
      </w:r>
      <w:r w:rsidR="00147568">
        <w:t>e</w:t>
      </w:r>
      <w:r>
        <w:t xml:space="preserve">xecutive </w:t>
      </w:r>
      <w:r w:rsidR="00147568">
        <w:t>d</w:t>
      </w:r>
      <w:r>
        <w:t>irector of the Georgia Environmental Facilities Authority.</w:t>
      </w:r>
    </w:p>
  </w:footnote>
  <w:footnote w:id="2">
    <w:p w:rsidR="00513C23" w:rsidRDefault="00513C23">
      <w:pPr>
        <w:pStyle w:val="FootnoteText"/>
      </w:pPr>
      <w:r>
        <w:rPr>
          <w:rStyle w:val="FootnoteReference"/>
        </w:rPr>
        <w:footnoteRef/>
      </w:r>
      <w:r>
        <w:t xml:space="preserve"> The Metropolitan North Georgia Water Planning District, where the city of Atlanta is located, already had a functioning water planning apparatus in place.  As such, that district was permitted to continue with their planning activities without additional burdens placed by the state.</w:t>
      </w:r>
    </w:p>
  </w:footnote>
  <w:footnote w:id="3">
    <w:p w:rsidR="003F66F2" w:rsidRDefault="003F66F2">
      <w:pPr>
        <w:pStyle w:val="FootnoteText"/>
      </w:pPr>
      <w:r>
        <w:rPr>
          <w:rStyle w:val="FootnoteReference"/>
        </w:rPr>
        <w:footnoteRef/>
      </w:r>
      <w:r>
        <w:t xml:space="preserve"> Palmer Drought Severity Index interpretation: -1.0 to -1.99 – mild drought; -2.0 to -2.99 – moderate drought; -3.0 to -3.99 – severe drought; -4.0 or less – extreme drought; positive values similarly represent wet conditions.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161FA"/>
    <w:multiLevelType w:val="hybridMultilevel"/>
    <w:tmpl w:val="D18096F6"/>
    <w:lvl w:ilvl="0" w:tplc="CCF2DA2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84DCC"/>
    <w:rsid w:val="00000595"/>
    <w:rsid w:val="00010259"/>
    <w:rsid w:val="000170F7"/>
    <w:rsid w:val="00026451"/>
    <w:rsid w:val="0003478C"/>
    <w:rsid w:val="00034B59"/>
    <w:rsid w:val="000467D0"/>
    <w:rsid w:val="00055CCB"/>
    <w:rsid w:val="000630F0"/>
    <w:rsid w:val="00065177"/>
    <w:rsid w:val="000762A5"/>
    <w:rsid w:val="0008243B"/>
    <w:rsid w:val="00084DCC"/>
    <w:rsid w:val="00085808"/>
    <w:rsid w:val="000862B1"/>
    <w:rsid w:val="00097E30"/>
    <w:rsid w:val="000A46CF"/>
    <w:rsid w:val="000B5058"/>
    <w:rsid w:val="000B7687"/>
    <w:rsid w:val="000C092E"/>
    <w:rsid w:val="000C2D16"/>
    <w:rsid w:val="000D1784"/>
    <w:rsid w:val="000D4239"/>
    <w:rsid w:val="000D567B"/>
    <w:rsid w:val="000D6C77"/>
    <w:rsid w:val="000F1267"/>
    <w:rsid w:val="000F562D"/>
    <w:rsid w:val="00102872"/>
    <w:rsid w:val="00126FB9"/>
    <w:rsid w:val="00145D6B"/>
    <w:rsid w:val="00146615"/>
    <w:rsid w:val="00147568"/>
    <w:rsid w:val="001543CF"/>
    <w:rsid w:val="00193410"/>
    <w:rsid w:val="00197E43"/>
    <w:rsid w:val="001A2FEE"/>
    <w:rsid w:val="001A6130"/>
    <w:rsid w:val="001B5870"/>
    <w:rsid w:val="001C7992"/>
    <w:rsid w:val="001D319E"/>
    <w:rsid w:val="001E5113"/>
    <w:rsid w:val="0020289D"/>
    <w:rsid w:val="00204519"/>
    <w:rsid w:val="002305F3"/>
    <w:rsid w:val="00244821"/>
    <w:rsid w:val="00246255"/>
    <w:rsid w:val="00252823"/>
    <w:rsid w:val="00282C2D"/>
    <w:rsid w:val="002B3ECB"/>
    <w:rsid w:val="002C19A8"/>
    <w:rsid w:val="002D050D"/>
    <w:rsid w:val="002E100E"/>
    <w:rsid w:val="0031165E"/>
    <w:rsid w:val="003125A5"/>
    <w:rsid w:val="00314B63"/>
    <w:rsid w:val="003213E4"/>
    <w:rsid w:val="003324A1"/>
    <w:rsid w:val="00351BAA"/>
    <w:rsid w:val="003725A9"/>
    <w:rsid w:val="00380D82"/>
    <w:rsid w:val="00382816"/>
    <w:rsid w:val="0038359A"/>
    <w:rsid w:val="003867AE"/>
    <w:rsid w:val="003B0D2D"/>
    <w:rsid w:val="003B1F69"/>
    <w:rsid w:val="003B424C"/>
    <w:rsid w:val="003C48FB"/>
    <w:rsid w:val="003C6986"/>
    <w:rsid w:val="003D72CC"/>
    <w:rsid w:val="003F66F2"/>
    <w:rsid w:val="00410F66"/>
    <w:rsid w:val="004161E9"/>
    <w:rsid w:val="00435529"/>
    <w:rsid w:val="00447A7A"/>
    <w:rsid w:val="004519C8"/>
    <w:rsid w:val="00452F3F"/>
    <w:rsid w:val="004737EB"/>
    <w:rsid w:val="00483FAC"/>
    <w:rsid w:val="004841FF"/>
    <w:rsid w:val="004C5B9B"/>
    <w:rsid w:val="004C6C22"/>
    <w:rsid w:val="004D0E73"/>
    <w:rsid w:val="004E1B12"/>
    <w:rsid w:val="004E5F13"/>
    <w:rsid w:val="004F64A4"/>
    <w:rsid w:val="0051273A"/>
    <w:rsid w:val="00513C23"/>
    <w:rsid w:val="00517308"/>
    <w:rsid w:val="00520069"/>
    <w:rsid w:val="005670B9"/>
    <w:rsid w:val="00574CF7"/>
    <w:rsid w:val="00590DEF"/>
    <w:rsid w:val="005936BA"/>
    <w:rsid w:val="005B3C90"/>
    <w:rsid w:val="005C093E"/>
    <w:rsid w:val="005C38F7"/>
    <w:rsid w:val="005D420C"/>
    <w:rsid w:val="005F169E"/>
    <w:rsid w:val="00607D8C"/>
    <w:rsid w:val="006331B8"/>
    <w:rsid w:val="00643899"/>
    <w:rsid w:val="006476AB"/>
    <w:rsid w:val="00665A9F"/>
    <w:rsid w:val="0066609D"/>
    <w:rsid w:val="00686DA8"/>
    <w:rsid w:val="00694F4E"/>
    <w:rsid w:val="006A7F08"/>
    <w:rsid w:val="006B0900"/>
    <w:rsid w:val="006B4463"/>
    <w:rsid w:val="006B7918"/>
    <w:rsid w:val="006F0D1C"/>
    <w:rsid w:val="006F2C86"/>
    <w:rsid w:val="006F2E49"/>
    <w:rsid w:val="006F371A"/>
    <w:rsid w:val="0070080D"/>
    <w:rsid w:val="00727695"/>
    <w:rsid w:val="00731923"/>
    <w:rsid w:val="00732447"/>
    <w:rsid w:val="00742782"/>
    <w:rsid w:val="00757287"/>
    <w:rsid w:val="0076319F"/>
    <w:rsid w:val="007640F7"/>
    <w:rsid w:val="00783FDF"/>
    <w:rsid w:val="007A6033"/>
    <w:rsid w:val="007C3912"/>
    <w:rsid w:val="00820D3E"/>
    <w:rsid w:val="00824941"/>
    <w:rsid w:val="00825653"/>
    <w:rsid w:val="0084783D"/>
    <w:rsid w:val="00857E87"/>
    <w:rsid w:val="008922E7"/>
    <w:rsid w:val="00892C03"/>
    <w:rsid w:val="008B055A"/>
    <w:rsid w:val="008B4494"/>
    <w:rsid w:val="008C1DC1"/>
    <w:rsid w:val="008C62A0"/>
    <w:rsid w:val="008E14A7"/>
    <w:rsid w:val="008F13BD"/>
    <w:rsid w:val="009006C3"/>
    <w:rsid w:val="00901A7F"/>
    <w:rsid w:val="00901B9D"/>
    <w:rsid w:val="0091519C"/>
    <w:rsid w:val="009231FF"/>
    <w:rsid w:val="00923393"/>
    <w:rsid w:val="009262F4"/>
    <w:rsid w:val="009336C9"/>
    <w:rsid w:val="00946902"/>
    <w:rsid w:val="009604CF"/>
    <w:rsid w:val="009629B7"/>
    <w:rsid w:val="009776C0"/>
    <w:rsid w:val="00987027"/>
    <w:rsid w:val="00996DA7"/>
    <w:rsid w:val="0099705F"/>
    <w:rsid w:val="009A075E"/>
    <w:rsid w:val="009D36CE"/>
    <w:rsid w:val="009D6FE5"/>
    <w:rsid w:val="009E69A1"/>
    <w:rsid w:val="00A03DBF"/>
    <w:rsid w:val="00A11C15"/>
    <w:rsid w:val="00A1611D"/>
    <w:rsid w:val="00A36B2C"/>
    <w:rsid w:val="00A470A5"/>
    <w:rsid w:val="00A531A1"/>
    <w:rsid w:val="00A57EDE"/>
    <w:rsid w:val="00A74309"/>
    <w:rsid w:val="00A775C7"/>
    <w:rsid w:val="00A818AB"/>
    <w:rsid w:val="00A83886"/>
    <w:rsid w:val="00AA657B"/>
    <w:rsid w:val="00AE1026"/>
    <w:rsid w:val="00AE7001"/>
    <w:rsid w:val="00AE7BEA"/>
    <w:rsid w:val="00AF036C"/>
    <w:rsid w:val="00AF1BC7"/>
    <w:rsid w:val="00AF5B60"/>
    <w:rsid w:val="00B1418A"/>
    <w:rsid w:val="00B20A10"/>
    <w:rsid w:val="00B44120"/>
    <w:rsid w:val="00B60EDD"/>
    <w:rsid w:val="00B65EDF"/>
    <w:rsid w:val="00B84F28"/>
    <w:rsid w:val="00B851A0"/>
    <w:rsid w:val="00B9706B"/>
    <w:rsid w:val="00BA7271"/>
    <w:rsid w:val="00BB0384"/>
    <w:rsid w:val="00BB3515"/>
    <w:rsid w:val="00BD2277"/>
    <w:rsid w:val="00BE1367"/>
    <w:rsid w:val="00BE5B18"/>
    <w:rsid w:val="00BE7542"/>
    <w:rsid w:val="00C34038"/>
    <w:rsid w:val="00C46AB1"/>
    <w:rsid w:val="00C5516C"/>
    <w:rsid w:val="00C74837"/>
    <w:rsid w:val="00C75DE9"/>
    <w:rsid w:val="00C806E1"/>
    <w:rsid w:val="00C86836"/>
    <w:rsid w:val="00C95A5D"/>
    <w:rsid w:val="00CC0C52"/>
    <w:rsid w:val="00CE357B"/>
    <w:rsid w:val="00D006E1"/>
    <w:rsid w:val="00D02078"/>
    <w:rsid w:val="00D0652E"/>
    <w:rsid w:val="00D072C0"/>
    <w:rsid w:val="00D078E6"/>
    <w:rsid w:val="00D07C25"/>
    <w:rsid w:val="00D20F53"/>
    <w:rsid w:val="00D24297"/>
    <w:rsid w:val="00D300CD"/>
    <w:rsid w:val="00D46777"/>
    <w:rsid w:val="00D52E57"/>
    <w:rsid w:val="00D7309E"/>
    <w:rsid w:val="00D74517"/>
    <w:rsid w:val="00D8032D"/>
    <w:rsid w:val="00D8632B"/>
    <w:rsid w:val="00DA4FF6"/>
    <w:rsid w:val="00DA60FB"/>
    <w:rsid w:val="00DB2692"/>
    <w:rsid w:val="00DD3643"/>
    <w:rsid w:val="00DE0876"/>
    <w:rsid w:val="00DF199C"/>
    <w:rsid w:val="00DF252C"/>
    <w:rsid w:val="00DF4F95"/>
    <w:rsid w:val="00E00057"/>
    <w:rsid w:val="00E01600"/>
    <w:rsid w:val="00E14313"/>
    <w:rsid w:val="00E40495"/>
    <w:rsid w:val="00E804B1"/>
    <w:rsid w:val="00E93AEE"/>
    <w:rsid w:val="00EA6A19"/>
    <w:rsid w:val="00EA7DAE"/>
    <w:rsid w:val="00EC592C"/>
    <w:rsid w:val="00ED306F"/>
    <w:rsid w:val="00EF076A"/>
    <w:rsid w:val="00F02F88"/>
    <w:rsid w:val="00F13828"/>
    <w:rsid w:val="00F14CC2"/>
    <w:rsid w:val="00F17836"/>
    <w:rsid w:val="00F40DCD"/>
    <w:rsid w:val="00F46BB3"/>
    <w:rsid w:val="00F542C3"/>
    <w:rsid w:val="00F54D1B"/>
    <w:rsid w:val="00F6783E"/>
    <w:rsid w:val="00F746CA"/>
    <w:rsid w:val="00F93933"/>
    <w:rsid w:val="00F93BE1"/>
    <w:rsid w:val="00FD032D"/>
    <w:rsid w:val="00FE6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B9"/>
    <w:rPr>
      <w:rFonts w:ascii="Tahoma" w:hAnsi="Tahoma" w:cs="Tahoma"/>
      <w:sz w:val="16"/>
      <w:szCs w:val="16"/>
    </w:rPr>
  </w:style>
  <w:style w:type="paragraph" w:styleId="FootnoteText">
    <w:name w:val="footnote text"/>
    <w:basedOn w:val="Normal"/>
    <w:link w:val="FootnoteTextChar"/>
    <w:uiPriority w:val="99"/>
    <w:semiHidden/>
    <w:unhideWhenUsed/>
    <w:rsid w:val="000D42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4239"/>
    <w:rPr>
      <w:sz w:val="20"/>
      <w:szCs w:val="20"/>
    </w:rPr>
  </w:style>
  <w:style w:type="character" w:styleId="FootnoteReference">
    <w:name w:val="footnote reference"/>
    <w:basedOn w:val="DefaultParagraphFont"/>
    <w:uiPriority w:val="99"/>
    <w:semiHidden/>
    <w:unhideWhenUsed/>
    <w:rsid w:val="000D4239"/>
    <w:rPr>
      <w:vertAlign w:val="superscript"/>
    </w:rPr>
  </w:style>
  <w:style w:type="paragraph" w:styleId="ListParagraph">
    <w:name w:val="List Paragraph"/>
    <w:basedOn w:val="Normal"/>
    <w:uiPriority w:val="34"/>
    <w:qFormat/>
    <w:rsid w:val="00D02078"/>
    <w:pPr>
      <w:ind w:left="720"/>
      <w:contextualSpacing/>
    </w:pPr>
  </w:style>
  <w:style w:type="character" w:styleId="Hyperlink">
    <w:name w:val="Hyperlink"/>
    <w:basedOn w:val="DefaultParagraphFont"/>
    <w:uiPriority w:val="99"/>
    <w:unhideWhenUsed/>
    <w:rsid w:val="00D7309E"/>
    <w:rPr>
      <w:color w:val="0000FF" w:themeColor="hyperlink"/>
      <w:u w:val="single"/>
    </w:rPr>
  </w:style>
  <w:style w:type="paragraph" w:styleId="EndnoteText">
    <w:name w:val="endnote text"/>
    <w:basedOn w:val="Normal"/>
    <w:link w:val="EndnoteTextChar"/>
    <w:uiPriority w:val="99"/>
    <w:semiHidden/>
    <w:unhideWhenUsed/>
    <w:rsid w:val="00513C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3C23"/>
    <w:rPr>
      <w:sz w:val="20"/>
      <w:szCs w:val="20"/>
    </w:rPr>
  </w:style>
  <w:style w:type="character" w:styleId="EndnoteReference">
    <w:name w:val="endnote reference"/>
    <w:basedOn w:val="DefaultParagraphFont"/>
    <w:uiPriority w:val="99"/>
    <w:semiHidden/>
    <w:unhideWhenUsed/>
    <w:rsid w:val="00513C2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giawaterplanning.org"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eorgiawaterplanning.org"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SAEA%202011\Population%20GA%20190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eff%20Mullen\My%20Documents\SAEA%202010\irr%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2"/>
          <c:tx>
            <c:strRef>
              <c:f>Sheet1!$A$21</c:f>
              <c:strCache>
                <c:ptCount val="1"/>
                <c:pt idx="0">
                  <c:v>Palmer Drought Severity Index</c:v>
                </c:pt>
              </c:strCache>
            </c:strRef>
          </c:tx>
          <c:spPr>
            <a:solidFill>
              <a:srgbClr val="FF6600"/>
            </a:solidFill>
          </c:spPr>
          <c:cat>
            <c:numRef>
              <c:f>Sheet1!$B$20:$DH$20</c:f>
              <c:numCache>
                <c:formatCode>General</c:formatCode>
                <c:ptCount val="111"/>
                <c:pt idx="0">
                  <c:v>1900</c:v>
                </c:pt>
                <c:pt idx="1">
                  <c:v>1901</c:v>
                </c:pt>
                <c:pt idx="2">
                  <c:v>1902</c:v>
                </c:pt>
                <c:pt idx="3">
                  <c:v>1903</c:v>
                </c:pt>
                <c:pt idx="4">
                  <c:v>1904</c:v>
                </c:pt>
                <c:pt idx="5">
                  <c:v>1905</c:v>
                </c:pt>
                <c:pt idx="6">
                  <c:v>1906</c:v>
                </c:pt>
                <c:pt idx="7">
                  <c:v>1907</c:v>
                </c:pt>
                <c:pt idx="8">
                  <c:v>1908</c:v>
                </c:pt>
                <c:pt idx="9">
                  <c:v>1909</c:v>
                </c:pt>
                <c:pt idx="10">
                  <c:v>1910</c:v>
                </c:pt>
                <c:pt idx="11">
                  <c:v>1911</c:v>
                </c:pt>
                <c:pt idx="12">
                  <c:v>1912</c:v>
                </c:pt>
                <c:pt idx="13">
                  <c:v>1913</c:v>
                </c:pt>
                <c:pt idx="14">
                  <c:v>1914</c:v>
                </c:pt>
                <c:pt idx="15">
                  <c:v>1915</c:v>
                </c:pt>
                <c:pt idx="16">
                  <c:v>1916</c:v>
                </c:pt>
                <c:pt idx="17">
                  <c:v>1917</c:v>
                </c:pt>
                <c:pt idx="18">
                  <c:v>1918</c:v>
                </c:pt>
                <c:pt idx="19">
                  <c:v>1919</c:v>
                </c:pt>
                <c:pt idx="20">
                  <c:v>1920</c:v>
                </c:pt>
                <c:pt idx="21">
                  <c:v>1921</c:v>
                </c:pt>
                <c:pt idx="22">
                  <c:v>1922</c:v>
                </c:pt>
                <c:pt idx="23">
                  <c:v>1923</c:v>
                </c:pt>
                <c:pt idx="24">
                  <c:v>1924</c:v>
                </c:pt>
                <c:pt idx="25">
                  <c:v>1925</c:v>
                </c:pt>
                <c:pt idx="26">
                  <c:v>1926</c:v>
                </c:pt>
                <c:pt idx="27">
                  <c:v>1927</c:v>
                </c:pt>
                <c:pt idx="28">
                  <c:v>1928</c:v>
                </c:pt>
                <c:pt idx="29">
                  <c:v>1929</c:v>
                </c:pt>
                <c:pt idx="30">
                  <c:v>1930</c:v>
                </c:pt>
                <c:pt idx="31">
                  <c:v>1931</c:v>
                </c:pt>
                <c:pt idx="32">
                  <c:v>1932</c:v>
                </c:pt>
                <c:pt idx="33">
                  <c:v>1933</c:v>
                </c:pt>
                <c:pt idx="34">
                  <c:v>1934</c:v>
                </c:pt>
                <c:pt idx="35">
                  <c:v>1935</c:v>
                </c:pt>
                <c:pt idx="36">
                  <c:v>1936</c:v>
                </c:pt>
                <c:pt idx="37">
                  <c:v>1937</c:v>
                </c:pt>
                <c:pt idx="38">
                  <c:v>1938</c:v>
                </c:pt>
                <c:pt idx="39">
                  <c:v>1939</c:v>
                </c:pt>
                <c:pt idx="40">
                  <c:v>1940</c:v>
                </c:pt>
                <c:pt idx="41">
                  <c:v>1941</c:v>
                </c:pt>
                <c:pt idx="42">
                  <c:v>1942</c:v>
                </c:pt>
                <c:pt idx="43">
                  <c:v>1943</c:v>
                </c:pt>
                <c:pt idx="44">
                  <c:v>1944</c:v>
                </c:pt>
                <c:pt idx="45">
                  <c:v>1945</c:v>
                </c:pt>
                <c:pt idx="46">
                  <c:v>1946</c:v>
                </c:pt>
                <c:pt idx="47">
                  <c:v>1947</c:v>
                </c:pt>
                <c:pt idx="48">
                  <c:v>1948</c:v>
                </c:pt>
                <c:pt idx="49">
                  <c:v>1949</c:v>
                </c:pt>
                <c:pt idx="50">
                  <c:v>1950</c:v>
                </c:pt>
                <c:pt idx="51">
                  <c:v>1951</c:v>
                </c:pt>
                <c:pt idx="52">
                  <c:v>1952</c:v>
                </c:pt>
                <c:pt idx="53">
                  <c:v>1953</c:v>
                </c:pt>
                <c:pt idx="54">
                  <c:v>1954</c:v>
                </c:pt>
                <c:pt idx="55">
                  <c:v>1955</c:v>
                </c:pt>
                <c:pt idx="56">
                  <c:v>1956</c:v>
                </c:pt>
                <c:pt idx="57">
                  <c:v>1957</c:v>
                </c:pt>
                <c:pt idx="58">
                  <c:v>1958</c:v>
                </c:pt>
                <c:pt idx="59">
                  <c:v>1959</c:v>
                </c:pt>
                <c:pt idx="60">
                  <c:v>1960</c:v>
                </c:pt>
                <c:pt idx="61">
                  <c:v>1961</c:v>
                </c:pt>
                <c:pt idx="62">
                  <c:v>1962</c:v>
                </c:pt>
                <c:pt idx="63">
                  <c:v>1963</c:v>
                </c:pt>
                <c:pt idx="64">
                  <c:v>1964</c:v>
                </c:pt>
                <c:pt idx="65">
                  <c:v>1965</c:v>
                </c:pt>
                <c:pt idx="66">
                  <c:v>1966</c:v>
                </c:pt>
                <c:pt idx="67">
                  <c:v>1967</c:v>
                </c:pt>
                <c:pt idx="68">
                  <c:v>1968</c:v>
                </c:pt>
                <c:pt idx="69">
                  <c:v>1969</c:v>
                </c:pt>
                <c:pt idx="70">
                  <c:v>1970</c:v>
                </c:pt>
                <c:pt idx="71">
                  <c:v>1971</c:v>
                </c:pt>
                <c:pt idx="72">
                  <c:v>1972</c:v>
                </c:pt>
                <c:pt idx="73">
                  <c:v>1973</c:v>
                </c:pt>
                <c:pt idx="74">
                  <c:v>1974</c:v>
                </c:pt>
                <c:pt idx="75">
                  <c:v>1975</c:v>
                </c:pt>
                <c:pt idx="76">
                  <c:v>1976</c:v>
                </c:pt>
                <c:pt idx="77">
                  <c:v>1977</c:v>
                </c:pt>
                <c:pt idx="78">
                  <c:v>1978</c:v>
                </c:pt>
                <c:pt idx="79">
                  <c:v>1979</c:v>
                </c:pt>
                <c:pt idx="80">
                  <c:v>1980</c:v>
                </c:pt>
                <c:pt idx="81">
                  <c:v>1981</c:v>
                </c:pt>
                <c:pt idx="82">
                  <c:v>1982</c:v>
                </c:pt>
                <c:pt idx="83">
                  <c:v>1983</c:v>
                </c:pt>
                <c:pt idx="84">
                  <c:v>1984</c:v>
                </c:pt>
                <c:pt idx="85">
                  <c:v>1985</c:v>
                </c:pt>
                <c:pt idx="86">
                  <c:v>1986</c:v>
                </c:pt>
                <c:pt idx="87">
                  <c:v>1987</c:v>
                </c:pt>
                <c:pt idx="88">
                  <c:v>1988</c:v>
                </c:pt>
                <c:pt idx="89">
                  <c:v>1989</c:v>
                </c:pt>
                <c:pt idx="90">
                  <c:v>1990</c:v>
                </c:pt>
                <c:pt idx="91">
                  <c:v>1991</c:v>
                </c:pt>
                <c:pt idx="92">
                  <c:v>1992</c:v>
                </c:pt>
                <c:pt idx="93">
                  <c:v>1993</c:v>
                </c:pt>
                <c:pt idx="94">
                  <c:v>1994</c:v>
                </c:pt>
                <c:pt idx="95">
                  <c:v>1995</c:v>
                </c:pt>
                <c:pt idx="96">
                  <c:v>1996</c:v>
                </c:pt>
                <c:pt idx="97">
                  <c:v>1997</c:v>
                </c:pt>
                <c:pt idx="98">
                  <c:v>1998</c:v>
                </c:pt>
                <c:pt idx="99">
                  <c:v>1999</c:v>
                </c:pt>
                <c:pt idx="100">
                  <c:v>2000</c:v>
                </c:pt>
                <c:pt idx="101">
                  <c:v>2001</c:v>
                </c:pt>
                <c:pt idx="102">
                  <c:v>2002</c:v>
                </c:pt>
                <c:pt idx="103">
                  <c:v>2003</c:v>
                </c:pt>
                <c:pt idx="104">
                  <c:v>2004</c:v>
                </c:pt>
                <c:pt idx="105">
                  <c:v>2005</c:v>
                </c:pt>
                <c:pt idx="106">
                  <c:v>2006</c:v>
                </c:pt>
                <c:pt idx="107">
                  <c:v>2007</c:v>
                </c:pt>
                <c:pt idx="108">
                  <c:v>2008</c:v>
                </c:pt>
                <c:pt idx="109">
                  <c:v>2009</c:v>
                </c:pt>
                <c:pt idx="110">
                  <c:v>2010</c:v>
                </c:pt>
              </c:numCache>
            </c:numRef>
          </c:cat>
          <c:val>
            <c:numRef>
              <c:f>Sheet1!$B$21:$DH$21</c:f>
              <c:numCache>
                <c:formatCode>General</c:formatCode>
                <c:ptCount val="111"/>
                <c:pt idx="0">
                  <c:v>0.34000000000000052</c:v>
                </c:pt>
                <c:pt idx="1">
                  <c:v>2.04</c:v>
                </c:pt>
                <c:pt idx="2">
                  <c:v>0.52</c:v>
                </c:pt>
                <c:pt idx="3">
                  <c:v>1.36</c:v>
                </c:pt>
                <c:pt idx="4">
                  <c:v>-1.6700000000000021</c:v>
                </c:pt>
                <c:pt idx="5">
                  <c:v>-2.14</c:v>
                </c:pt>
                <c:pt idx="6">
                  <c:v>0.86000000000000065</c:v>
                </c:pt>
                <c:pt idx="7">
                  <c:v>-0.15000000000000024</c:v>
                </c:pt>
                <c:pt idx="8">
                  <c:v>0.71000000000000063</c:v>
                </c:pt>
                <c:pt idx="9">
                  <c:v>0.27</c:v>
                </c:pt>
                <c:pt idx="10">
                  <c:v>-0.63000000000000322</c:v>
                </c:pt>
                <c:pt idx="11">
                  <c:v>-1.9800000000000046</c:v>
                </c:pt>
                <c:pt idx="12">
                  <c:v>3.02</c:v>
                </c:pt>
                <c:pt idx="13">
                  <c:v>0.6800000000000016</c:v>
                </c:pt>
                <c:pt idx="14">
                  <c:v>-1.83</c:v>
                </c:pt>
                <c:pt idx="15">
                  <c:v>-0.24000000000000021</c:v>
                </c:pt>
                <c:pt idx="16">
                  <c:v>-0.70000000000000062</c:v>
                </c:pt>
                <c:pt idx="17">
                  <c:v>-0.2</c:v>
                </c:pt>
                <c:pt idx="18">
                  <c:v>-1.52</c:v>
                </c:pt>
                <c:pt idx="19">
                  <c:v>1.85</c:v>
                </c:pt>
                <c:pt idx="20">
                  <c:v>2.17</c:v>
                </c:pt>
                <c:pt idx="21">
                  <c:v>-0.96000000000000063</c:v>
                </c:pt>
                <c:pt idx="22">
                  <c:v>-0.1100000000000001</c:v>
                </c:pt>
                <c:pt idx="23">
                  <c:v>0.27</c:v>
                </c:pt>
                <c:pt idx="24">
                  <c:v>0.19000000000000022</c:v>
                </c:pt>
                <c:pt idx="25">
                  <c:v>-2.25</c:v>
                </c:pt>
                <c:pt idx="26">
                  <c:v>-2.46</c:v>
                </c:pt>
                <c:pt idx="27">
                  <c:v>-3.03</c:v>
                </c:pt>
                <c:pt idx="28">
                  <c:v>1.750000000000002</c:v>
                </c:pt>
                <c:pt idx="29">
                  <c:v>4.25</c:v>
                </c:pt>
                <c:pt idx="30">
                  <c:v>0.28000000000000008</c:v>
                </c:pt>
                <c:pt idx="31">
                  <c:v>-2.08</c:v>
                </c:pt>
                <c:pt idx="32">
                  <c:v>-1.46</c:v>
                </c:pt>
                <c:pt idx="33">
                  <c:v>9.0000000000000066E-2</c:v>
                </c:pt>
                <c:pt idx="34">
                  <c:v>-2.62</c:v>
                </c:pt>
                <c:pt idx="35">
                  <c:v>-1.58</c:v>
                </c:pt>
                <c:pt idx="36">
                  <c:v>0.14000000000000001</c:v>
                </c:pt>
                <c:pt idx="37">
                  <c:v>0.28000000000000008</c:v>
                </c:pt>
                <c:pt idx="38">
                  <c:v>-0.46</c:v>
                </c:pt>
                <c:pt idx="39">
                  <c:v>0</c:v>
                </c:pt>
                <c:pt idx="40">
                  <c:v>-0.88000000000000089</c:v>
                </c:pt>
                <c:pt idx="41">
                  <c:v>-2.0699999999999998</c:v>
                </c:pt>
                <c:pt idx="42">
                  <c:v>-8.0000000000000224E-2</c:v>
                </c:pt>
                <c:pt idx="43">
                  <c:v>-0.38000000000000161</c:v>
                </c:pt>
                <c:pt idx="44">
                  <c:v>-0.59000000000000052</c:v>
                </c:pt>
                <c:pt idx="45">
                  <c:v>-0.42000000000000032</c:v>
                </c:pt>
                <c:pt idx="46">
                  <c:v>1.7000000000000015</c:v>
                </c:pt>
                <c:pt idx="47">
                  <c:v>0.35000000000000031</c:v>
                </c:pt>
                <c:pt idx="48">
                  <c:v>2.88</c:v>
                </c:pt>
                <c:pt idx="49">
                  <c:v>2.63</c:v>
                </c:pt>
                <c:pt idx="50">
                  <c:v>-1.06</c:v>
                </c:pt>
                <c:pt idx="51">
                  <c:v>-1.1800000000000057</c:v>
                </c:pt>
                <c:pt idx="52">
                  <c:v>-0.47000000000000008</c:v>
                </c:pt>
                <c:pt idx="53">
                  <c:v>0.14000000000000001</c:v>
                </c:pt>
                <c:pt idx="54">
                  <c:v>-2.2000000000000002</c:v>
                </c:pt>
                <c:pt idx="55">
                  <c:v>-3.88</c:v>
                </c:pt>
                <c:pt idx="56">
                  <c:v>-2.57</c:v>
                </c:pt>
                <c:pt idx="57">
                  <c:v>-0.48000000000000032</c:v>
                </c:pt>
                <c:pt idx="58">
                  <c:v>1.45</c:v>
                </c:pt>
                <c:pt idx="59">
                  <c:v>0.3300000000000019</c:v>
                </c:pt>
                <c:pt idx="60">
                  <c:v>0.77000000000000246</c:v>
                </c:pt>
                <c:pt idx="61">
                  <c:v>0.5</c:v>
                </c:pt>
                <c:pt idx="62">
                  <c:v>-0.32000000000000162</c:v>
                </c:pt>
                <c:pt idx="63">
                  <c:v>0.27</c:v>
                </c:pt>
                <c:pt idx="64">
                  <c:v>2.72</c:v>
                </c:pt>
                <c:pt idx="65">
                  <c:v>3.3899999999999997</c:v>
                </c:pt>
                <c:pt idx="66">
                  <c:v>2.1</c:v>
                </c:pt>
                <c:pt idx="67">
                  <c:v>1.1299999999999935</c:v>
                </c:pt>
                <c:pt idx="68">
                  <c:v>-0.62000000000000288</c:v>
                </c:pt>
                <c:pt idx="69">
                  <c:v>0.49000000000000032</c:v>
                </c:pt>
                <c:pt idx="70">
                  <c:v>1.25</c:v>
                </c:pt>
                <c:pt idx="71">
                  <c:v>1.82</c:v>
                </c:pt>
                <c:pt idx="72">
                  <c:v>1.27</c:v>
                </c:pt>
                <c:pt idx="73">
                  <c:v>2.15</c:v>
                </c:pt>
                <c:pt idx="74">
                  <c:v>1.2</c:v>
                </c:pt>
                <c:pt idx="75">
                  <c:v>2.71</c:v>
                </c:pt>
                <c:pt idx="76">
                  <c:v>1.57</c:v>
                </c:pt>
                <c:pt idx="77">
                  <c:v>0.47000000000000008</c:v>
                </c:pt>
                <c:pt idx="78">
                  <c:v>-0.31000000000000144</c:v>
                </c:pt>
                <c:pt idx="79">
                  <c:v>0.84000000000000064</c:v>
                </c:pt>
                <c:pt idx="80">
                  <c:v>0.47000000000000008</c:v>
                </c:pt>
                <c:pt idx="81">
                  <c:v>-3.2600000000000002</c:v>
                </c:pt>
                <c:pt idx="82">
                  <c:v>0.2</c:v>
                </c:pt>
                <c:pt idx="83">
                  <c:v>0.30000000000000032</c:v>
                </c:pt>
                <c:pt idx="84">
                  <c:v>1.5</c:v>
                </c:pt>
                <c:pt idx="85">
                  <c:v>-1.32</c:v>
                </c:pt>
                <c:pt idx="86">
                  <c:v>-1.7300000000000015</c:v>
                </c:pt>
                <c:pt idx="87">
                  <c:v>-0.16000000000000023</c:v>
                </c:pt>
                <c:pt idx="88">
                  <c:v>-2.44</c:v>
                </c:pt>
                <c:pt idx="89">
                  <c:v>0.17</c:v>
                </c:pt>
                <c:pt idx="90">
                  <c:v>0.2</c:v>
                </c:pt>
                <c:pt idx="91">
                  <c:v>1.28</c:v>
                </c:pt>
                <c:pt idx="92">
                  <c:v>0.27</c:v>
                </c:pt>
                <c:pt idx="93">
                  <c:v>0.85000000000000064</c:v>
                </c:pt>
                <c:pt idx="94">
                  <c:v>1.47</c:v>
                </c:pt>
                <c:pt idx="95">
                  <c:v>1.1200000000000001</c:v>
                </c:pt>
                <c:pt idx="96">
                  <c:v>0.43000000000000038</c:v>
                </c:pt>
                <c:pt idx="97">
                  <c:v>0.49000000000000032</c:v>
                </c:pt>
                <c:pt idx="98">
                  <c:v>1.21</c:v>
                </c:pt>
                <c:pt idx="99">
                  <c:v>-2.77</c:v>
                </c:pt>
                <c:pt idx="100">
                  <c:v>-3.3499999999999988</c:v>
                </c:pt>
                <c:pt idx="101">
                  <c:v>-0.58000000000000052</c:v>
                </c:pt>
                <c:pt idx="102">
                  <c:v>-1.9200000000000021</c:v>
                </c:pt>
                <c:pt idx="103">
                  <c:v>2.9</c:v>
                </c:pt>
                <c:pt idx="104">
                  <c:v>0.14000000000000001</c:v>
                </c:pt>
                <c:pt idx="105">
                  <c:v>2.3299999999999987</c:v>
                </c:pt>
                <c:pt idx="106">
                  <c:v>-1.56</c:v>
                </c:pt>
                <c:pt idx="107">
                  <c:v>-3.02</c:v>
                </c:pt>
                <c:pt idx="108">
                  <c:v>-2.11</c:v>
                </c:pt>
                <c:pt idx="109">
                  <c:v>0.98</c:v>
                </c:pt>
                <c:pt idx="110">
                  <c:v>1.51</c:v>
                </c:pt>
              </c:numCache>
            </c:numRef>
          </c:val>
        </c:ser>
        <c:axId val="152405120"/>
        <c:axId val="152407424"/>
      </c:barChart>
      <c:lineChart>
        <c:grouping val="standard"/>
        <c:ser>
          <c:idx val="2"/>
          <c:order val="0"/>
          <c:tx>
            <c:strRef>
              <c:f>Sheet1!$A$22</c:f>
              <c:strCache>
                <c:ptCount val="1"/>
                <c:pt idx="0">
                  <c:v>Population (1,000,000)</c:v>
                </c:pt>
              </c:strCache>
            </c:strRef>
          </c:tx>
          <c:cat>
            <c:numRef>
              <c:f>Sheet1!$B$20:$DH$20</c:f>
              <c:numCache>
                <c:formatCode>General</c:formatCode>
                <c:ptCount val="111"/>
                <c:pt idx="0">
                  <c:v>1900</c:v>
                </c:pt>
                <c:pt idx="1">
                  <c:v>1901</c:v>
                </c:pt>
                <c:pt idx="2">
                  <c:v>1902</c:v>
                </c:pt>
                <c:pt idx="3">
                  <c:v>1903</c:v>
                </c:pt>
                <c:pt idx="4">
                  <c:v>1904</c:v>
                </c:pt>
                <c:pt idx="5">
                  <c:v>1905</c:v>
                </c:pt>
                <c:pt idx="6">
                  <c:v>1906</c:v>
                </c:pt>
                <c:pt idx="7">
                  <c:v>1907</c:v>
                </c:pt>
                <c:pt idx="8">
                  <c:v>1908</c:v>
                </c:pt>
                <c:pt idx="9">
                  <c:v>1909</c:v>
                </c:pt>
                <c:pt idx="10">
                  <c:v>1910</c:v>
                </c:pt>
                <c:pt idx="11">
                  <c:v>1911</c:v>
                </c:pt>
                <c:pt idx="12">
                  <c:v>1912</c:v>
                </c:pt>
                <c:pt idx="13">
                  <c:v>1913</c:v>
                </c:pt>
                <c:pt idx="14">
                  <c:v>1914</c:v>
                </c:pt>
                <c:pt idx="15">
                  <c:v>1915</c:v>
                </c:pt>
                <c:pt idx="16">
                  <c:v>1916</c:v>
                </c:pt>
                <c:pt idx="17">
                  <c:v>1917</c:v>
                </c:pt>
                <c:pt idx="18">
                  <c:v>1918</c:v>
                </c:pt>
                <c:pt idx="19">
                  <c:v>1919</c:v>
                </c:pt>
                <c:pt idx="20">
                  <c:v>1920</c:v>
                </c:pt>
                <c:pt idx="21">
                  <c:v>1921</c:v>
                </c:pt>
                <c:pt idx="22">
                  <c:v>1922</c:v>
                </c:pt>
                <c:pt idx="23">
                  <c:v>1923</c:v>
                </c:pt>
                <c:pt idx="24">
                  <c:v>1924</c:v>
                </c:pt>
                <c:pt idx="25">
                  <c:v>1925</c:v>
                </c:pt>
                <c:pt idx="26">
                  <c:v>1926</c:v>
                </c:pt>
                <c:pt idx="27">
                  <c:v>1927</c:v>
                </c:pt>
                <c:pt idx="28">
                  <c:v>1928</c:v>
                </c:pt>
                <c:pt idx="29">
                  <c:v>1929</c:v>
                </c:pt>
                <c:pt idx="30">
                  <c:v>1930</c:v>
                </c:pt>
                <c:pt idx="31">
                  <c:v>1931</c:v>
                </c:pt>
                <c:pt idx="32">
                  <c:v>1932</c:v>
                </c:pt>
                <c:pt idx="33">
                  <c:v>1933</c:v>
                </c:pt>
                <c:pt idx="34">
                  <c:v>1934</c:v>
                </c:pt>
                <c:pt idx="35">
                  <c:v>1935</c:v>
                </c:pt>
                <c:pt idx="36">
                  <c:v>1936</c:v>
                </c:pt>
                <c:pt idx="37">
                  <c:v>1937</c:v>
                </c:pt>
                <c:pt idx="38">
                  <c:v>1938</c:v>
                </c:pt>
                <c:pt idx="39">
                  <c:v>1939</c:v>
                </c:pt>
                <c:pt idx="40">
                  <c:v>1940</c:v>
                </c:pt>
                <c:pt idx="41">
                  <c:v>1941</c:v>
                </c:pt>
                <c:pt idx="42">
                  <c:v>1942</c:v>
                </c:pt>
                <c:pt idx="43">
                  <c:v>1943</c:v>
                </c:pt>
                <c:pt idx="44">
                  <c:v>1944</c:v>
                </c:pt>
                <c:pt idx="45">
                  <c:v>1945</c:v>
                </c:pt>
                <c:pt idx="46">
                  <c:v>1946</c:v>
                </c:pt>
                <c:pt idx="47">
                  <c:v>1947</c:v>
                </c:pt>
                <c:pt idx="48">
                  <c:v>1948</c:v>
                </c:pt>
                <c:pt idx="49">
                  <c:v>1949</c:v>
                </c:pt>
                <c:pt idx="50">
                  <c:v>1950</c:v>
                </c:pt>
                <c:pt idx="51">
                  <c:v>1951</c:v>
                </c:pt>
                <c:pt idx="52">
                  <c:v>1952</c:v>
                </c:pt>
                <c:pt idx="53">
                  <c:v>1953</c:v>
                </c:pt>
                <c:pt idx="54">
                  <c:v>1954</c:v>
                </c:pt>
                <c:pt idx="55">
                  <c:v>1955</c:v>
                </c:pt>
                <c:pt idx="56">
                  <c:v>1956</c:v>
                </c:pt>
                <c:pt idx="57">
                  <c:v>1957</c:v>
                </c:pt>
                <c:pt idx="58">
                  <c:v>1958</c:v>
                </c:pt>
                <c:pt idx="59">
                  <c:v>1959</c:v>
                </c:pt>
                <c:pt idx="60">
                  <c:v>1960</c:v>
                </c:pt>
                <c:pt idx="61">
                  <c:v>1961</c:v>
                </c:pt>
                <c:pt idx="62">
                  <c:v>1962</c:v>
                </c:pt>
                <c:pt idx="63">
                  <c:v>1963</c:v>
                </c:pt>
                <c:pt idx="64">
                  <c:v>1964</c:v>
                </c:pt>
                <c:pt idx="65">
                  <c:v>1965</c:v>
                </c:pt>
                <c:pt idx="66">
                  <c:v>1966</c:v>
                </c:pt>
                <c:pt idx="67">
                  <c:v>1967</c:v>
                </c:pt>
                <c:pt idx="68">
                  <c:v>1968</c:v>
                </c:pt>
                <c:pt idx="69">
                  <c:v>1969</c:v>
                </c:pt>
                <c:pt idx="70">
                  <c:v>1970</c:v>
                </c:pt>
                <c:pt idx="71">
                  <c:v>1971</c:v>
                </c:pt>
                <c:pt idx="72">
                  <c:v>1972</c:v>
                </c:pt>
                <c:pt idx="73">
                  <c:v>1973</c:v>
                </c:pt>
                <c:pt idx="74">
                  <c:v>1974</c:v>
                </c:pt>
                <c:pt idx="75">
                  <c:v>1975</c:v>
                </c:pt>
                <c:pt idx="76">
                  <c:v>1976</c:v>
                </c:pt>
                <c:pt idx="77">
                  <c:v>1977</c:v>
                </c:pt>
                <c:pt idx="78">
                  <c:v>1978</c:v>
                </c:pt>
                <c:pt idx="79">
                  <c:v>1979</c:v>
                </c:pt>
                <c:pt idx="80">
                  <c:v>1980</c:v>
                </c:pt>
                <c:pt idx="81">
                  <c:v>1981</c:v>
                </c:pt>
                <c:pt idx="82">
                  <c:v>1982</c:v>
                </c:pt>
                <c:pt idx="83">
                  <c:v>1983</c:v>
                </c:pt>
                <c:pt idx="84">
                  <c:v>1984</c:v>
                </c:pt>
                <c:pt idx="85">
                  <c:v>1985</c:v>
                </c:pt>
                <c:pt idx="86">
                  <c:v>1986</c:v>
                </c:pt>
                <c:pt idx="87">
                  <c:v>1987</c:v>
                </c:pt>
                <c:pt idx="88">
                  <c:v>1988</c:v>
                </c:pt>
                <c:pt idx="89">
                  <c:v>1989</c:v>
                </c:pt>
                <c:pt idx="90">
                  <c:v>1990</c:v>
                </c:pt>
                <c:pt idx="91">
                  <c:v>1991</c:v>
                </c:pt>
                <c:pt idx="92">
                  <c:v>1992</c:v>
                </c:pt>
                <c:pt idx="93">
                  <c:v>1993</c:v>
                </c:pt>
                <c:pt idx="94">
                  <c:v>1994</c:v>
                </c:pt>
                <c:pt idx="95">
                  <c:v>1995</c:v>
                </c:pt>
                <c:pt idx="96">
                  <c:v>1996</c:v>
                </c:pt>
                <c:pt idx="97">
                  <c:v>1997</c:v>
                </c:pt>
                <c:pt idx="98">
                  <c:v>1998</c:v>
                </c:pt>
                <c:pt idx="99">
                  <c:v>1999</c:v>
                </c:pt>
                <c:pt idx="100">
                  <c:v>2000</c:v>
                </c:pt>
                <c:pt idx="101">
                  <c:v>2001</c:v>
                </c:pt>
                <c:pt idx="102">
                  <c:v>2002</c:v>
                </c:pt>
                <c:pt idx="103">
                  <c:v>2003</c:v>
                </c:pt>
                <c:pt idx="104">
                  <c:v>2004</c:v>
                </c:pt>
                <c:pt idx="105">
                  <c:v>2005</c:v>
                </c:pt>
                <c:pt idx="106">
                  <c:v>2006</c:v>
                </c:pt>
                <c:pt idx="107">
                  <c:v>2007</c:v>
                </c:pt>
                <c:pt idx="108">
                  <c:v>2008</c:v>
                </c:pt>
                <c:pt idx="109">
                  <c:v>2009</c:v>
                </c:pt>
                <c:pt idx="110">
                  <c:v>2010</c:v>
                </c:pt>
              </c:numCache>
            </c:numRef>
          </c:cat>
          <c:val>
            <c:numRef>
              <c:f>Sheet1!$B$22:$DH$22</c:f>
              <c:numCache>
                <c:formatCode>General</c:formatCode>
                <c:ptCount val="111"/>
                <c:pt idx="0">
                  <c:v>2.2163310000000012</c:v>
                </c:pt>
                <c:pt idx="10">
                  <c:v>2.6091210000000138</c:v>
                </c:pt>
                <c:pt idx="20">
                  <c:v>2.8958319999999977</c:v>
                </c:pt>
                <c:pt idx="30">
                  <c:v>2.908506</c:v>
                </c:pt>
                <c:pt idx="40">
                  <c:v>3.1237230000000138</c:v>
                </c:pt>
                <c:pt idx="50">
                  <c:v>3.4445779999999999</c:v>
                </c:pt>
                <c:pt idx="60">
                  <c:v>3.9431159999999998</c:v>
                </c:pt>
                <c:pt idx="70">
                  <c:v>4.589575</c:v>
                </c:pt>
                <c:pt idx="80">
                  <c:v>5.4631049999999846</c:v>
                </c:pt>
                <c:pt idx="90">
                  <c:v>6.4782160000000024</c:v>
                </c:pt>
                <c:pt idx="100">
                  <c:v>8.1864530000000002</c:v>
                </c:pt>
                <c:pt idx="103">
                  <c:v>8.6847150000000024</c:v>
                </c:pt>
              </c:numCache>
            </c:numRef>
          </c:val>
        </c:ser>
        <c:ser>
          <c:idx val="3"/>
          <c:order val="1"/>
          <c:tx>
            <c:strRef>
              <c:f>Sheet1!$A$23</c:f>
              <c:strCache>
                <c:ptCount val="1"/>
                <c:pt idx="0">
                  <c:v>Irrigated Acres (100,000)</c:v>
                </c:pt>
              </c:strCache>
            </c:strRef>
          </c:tx>
          <c:marker>
            <c:symbol val="square"/>
            <c:size val="7"/>
            <c:spPr>
              <a:solidFill>
                <a:schemeClr val="accent1"/>
              </a:solidFill>
            </c:spPr>
          </c:marker>
          <c:cat>
            <c:numRef>
              <c:f>Sheet1!$B$20:$DH$20</c:f>
              <c:numCache>
                <c:formatCode>General</c:formatCode>
                <c:ptCount val="111"/>
                <c:pt idx="0">
                  <c:v>1900</c:v>
                </c:pt>
                <c:pt idx="1">
                  <c:v>1901</c:v>
                </c:pt>
                <c:pt idx="2">
                  <c:v>1902</c:v>
                </c:pt>
                <c:pt idx="3">
                  <c:v>1903</c:v>
                </c:pt>
                <c:pt idx="4">
                  <c:v>1904</c:v>
                </c:pt>
                <c:pt idx="5">
                  <c:v>1905</c:v>
                </c:pt>
                <c:pt idx="6">
                  <c:v>1906</c:v>
                </c:pt>
                <c:pt idx="7">
                  <c:v>1907</c:v>
                </c:pt>
                <c:pt idx="8">
                  <c:v>1908</c:v>
                </c:pt>
                <c:pt idx="9">
                  <c:v>1909</c:v>
                </c:pt>
                <c:pt idx="10">
                  <c:v>1910</c:v>
                </c:pt>
                <c:pt idx="11">
                  <c:v>1911</c:v>
                </c:pt>
                <c:pt idx="12">
                  <c:v>1912</c:v>
                </c:pt>
                <c:pt idx="13">
                  <c:v>1913</c:v>
                </c:pt>
                <c:pt idx="14">
                  <c:v>1914</c:v>
                </c:pt>
                <c:pt idx="15">
                  <c:v>1915</c:v>
                </c:pt>
                <c:pt idx="16">
                  <c:v>1916</c:v>
                </c:pt>
                <c:pt idx="17">
                  <c:v>1917</c:v>
                </c:pt>
                <c:pt idx="18">
                  <c:v>1918</c:v>
                </c:pt>
                <c:pt idx="19">
                  <c:v>1919</c:v>
                </c:pt>
                <c:pt idx="20">
                  <c:v>1920</c:v>
                </c:pt>
                <c:pt idx="21">
                  <c:v>1921</c:v>
                </c:pt>
                <c:pt idx="22">
                  <c:v>1922</c:v>
                </c:pt>
                <c:pt idx="23">
                  <c:v>1923</c:v>
                </c:pt>
                <c:pt idx="24">
                  <c:v>1924</c:v>
                </c:pt>
                <c:pt idx="25">
                  <c:v>1925</c:v>
                </c:pt>
                <c:pt idx="26">
                  <c:v>1926</c:v>
                </c:pt>
                <c:pt idx="27">
                  <c:v>1927</c:v>
                </c:pt>
                <c:pt idx="28">
                  <c:v>1928</c:v>
                </c:pt>
                <c:pt idx="29">
                  <c:v>1929</c:v>
                </c:pt>
                <c:pt idx="30">
                  <c:v>1930</c:v>
                </c:pt>
                <c:pt idx="31">
                  <c:v>1931</c:v>
                </c:pt>
                <c:pt idx="32">
                  <c:v>1932</c:v>
                </c:pt>
                <c:pt idx="33">
                  <c:v>1933</c:v>
                </c:pt>
                <c:pt idx="34">
                  <c:v>1934</c:v>
                </c:pt>
                <c:pt idx="35">
                  <c:v>1935</c:v>
                </c:pt>
                <c:pt idx="36">
                  <c:v>1936</c:v>
                </c:pt>
                <c:pt idx="37">
                  <c:v>1937</c:v>
                </c:pt>
                <c:pt idx="38">
                  <c:v>1938</c:v>
                </c:pt>
                <c:pt idx="39">
                  <c:v>1939</c:v>
                </c:pt>
                <c:pt idx="40">
                  <c:v>1940</c:v>
                </c:pt>
                <c:pt idx="41">
                  <c:v>1941</c:v>
                </c:pt>
                <c:pt idx="42">
                  <c:v>1942</c:v>
                </c:pt>
                <c:pt idx="43">
                  <c:v>1943</c:v>
                </c:pt>
                <c:pt idx="44">
                  <c:v>1944</c:v>
                </c:pt>
                <c:pt idx="45">
                  <c:v>1945</c:v>
                </c:pt>
                <c:pt idx="46">
                  <c:v>1946</c:v>
                </c:pt>
                <c:pt idx="47">
                  <c:v>1947</c:v>
                </c:pt>
                <c:pt idx="48">
                  <c:v>1948</c:v>
                </c:pt>
                <c:pt idx="49">
                  <c:v>1949</c:v>
                </c:pt>
                <c:pt idx="50">
                  <c:v>1950</c:v>
                </c:pt>
                <c:pt idx="51">
                  <c:v>1951</c:v>
                </c:pt>
                <c:pt idx="52">
                  <c:v>1952</c:v>
                </c:pt>
                <c:pt idx="53">
                  <c:v>1953</c:v>
                </c:pt>
                <c:pt idx="54">
                  <c:v>1954</c:v>
                </c:pt>
                <c:pt idx="55">
                  <c:v>1955</c:v>
                </c:pt>
                <c:pt idx="56">
                  <c:v>1956</c:v>
                </c:pt>
                <c:pt idx="57">
                  <c:v>1957</c:v>
                </c:pt>
                <c:pt idx="58">
                  <c:v>1958</c:v>
                </c:pt>
                <c:pt idx="59">
                  <c:v>1959</c:v>
                </c:pt>
                <c:pt idx="60">
                  <c:v>1960</c:v>
                </c:pt>
                <c:pt idx="61">
                  <c:v>1961</c:v>
                </c:pt>
                <c:pt idx="62">
                  <c:v>1962</c:v>
                </c:pt>
                <c:pt idx="63">
                  <c:v>1963</c:v>
                </c:pt>
                <c:pt idx="64">
                  <c:v>1964</c:v>
                </c:pt>
                <c:pt idx="65">
                  <c:v>1965</c:v>
                </c:pt>
                <c:pt idx="66">
                  <c:v>1966</c:v>
                </c:pt>
                <c:pt idx="67">
                  <c:v>1967</c:v>
                </c:pt>
                <c:pt idx="68">
                  <c:v>1968</c:v>
                </c:pt>
                <c:pt idx="69">
                  <c:v>1969</c:v>
                </c:pt>
                <c:pt idx="70">
                  <c:v>1970</c:v>
                </c:pt>
                <c:pt idx="71">
                  <c:v>1971</c:v>
                </c:pt>
                <c:pt idx="72">
                  <c:v>1972</c:v>
                </c:pt>
                <c:pt idx="73">
                  <c:v>1973</c:v>
                </c:pt>
                <c:pt idx="74">
                  <c:v>1974</c:v>
                </c:pt>
                <c:pt idx="75">
                  <c:v>1975</c:v>
                </c:pt>
                <c:pt idx="76">
                  <c:v>1976</c:v>
                </c:pt>
                <c:pt idx="77">
                  <c:v>1977</c:v>
                </c:pt>
                <c:pt idx="78">
                  <c:v>1978</c:v>
                </c:pt>
                <c:pt idx="79">
                  <c:v>1979</c:v>
                </c:pt>
                <c:pt idx="80">
                  <c:v>1980</c:v>
                </c:pt>
                <c:pt idx="81">
                  <c:v>1981</c:v>
                </c:pt>
                <c:pt idx="82">
                  <c:v>1982</c:v>
                </c:pt>
                <c:pt idx="83">
                  <c:v>1983</c:v>
                </c:pt>
                <c:pt idx="84">
                  <c:v>1984</c:v>
                </c:pt>
                <c:pt idx="85">
                  <c:v>1985</c:v>
                </c:pt>
                <c:pt idx="86">
                  <c:v>1986</c:v>
                </c:pt>
                <c:pt idx="87">
                  <c:v>1987</c:v>
                </c:pt>
                <c:pt idx="88">
                  <c:v>1988</c:v>
                </c:pt>
                <c:pt idx="89">
                  <c:v>1989</c:v>
                </c:pt>
                <c:pt idx="90">
                  <c:v>1990</c:v>
                </c:pt>
                <c:pt idx="91">
                  <c:v>1991</c:v>
                </c:pt>
                <c:pt idx="92">
                  <c:v>1992</c:v>
                </c:pt>
                <c:pt idx="93">
                  <c:v>1993</c:v>
                </c:pt>
                <c:pt idx="94">
                  <c:v>1994</c:v>
                </c:pt>
                <c:pt idx="95">
                  <c:v>1995</c:v>
                </c:pt>
                <c:pt idx="96">
                  <c:v>1996</c:v>
                </c:pt>
                <c:pt idx="97">
                  <c:v>1997</c:v>
                </c:pt>
                <c:pt idx="98">
                  <c:v>1998</c:v>
                </c:pt>
                <c:pt idx="99">
                  <c:v>1999</c:v>
                </c:pt>
                <c:pt idx="100">
                  <c:v>2000</c:v>
                </c:pt>
                <c:pt idx="101">
                  <c:v>2001</c:v>
                </c:pt>
                <c:pt idx="102">
                  <c:v>2002</c:v>
                </c:pt>
                <c:pt idx="103">
                  <c:v>2003</c:v>
                </c:pt>
                <c:pt idx="104">
                  <c:v>2004</c:v>
                </c:pt>
                <c:pt idx="105">
                  <c:v>2005</c:v>
                </c:pt>
                <c:pt idx="106">
                  <c:v>2006</c:v>
                </c:pt>
                <c:pt idx="107">
                  <c:v>2007</c:v>
                </c:pt>
                <c:pt idx="108">
                  <c:v>2008</c:v>
                </c:pt>
                <c:pt idx="109">
                  <c:v>2009</c:v>
                </c:pt>
                <c:pt idx="110">
                  <c:v>2010</c:v>
                </c:pt>
              </c:numCache>
            </c:numRef>
          </c:cat>
          <c:val>
            <c:numRef>
              <c:f>Sheet1!$B$23:$DH$23</c:f>
              <c:numCache>
                <c:formatCode>General</c:formatCode>
                <c:ptCount val="111"/>
                <c:pt idx="69">
                  <c:v>1.4460000000000002</c:v>
                </c:pt>
                <c:pt idx="74">
                  <c:v>3.0739999999999994</c:v>
                </c:pt>
                <c:pt idx="76">
                  <c:v>5.9210000000000012</c:v>
                </c:pt>
                <c:pt idx="79">
                  <c:v>9.8830000000000027</c:v>
                </c:pt>
                <c:pt idx="81">
                  <c:v>11.05</c:v>
                </c:pt>
                <c:pt idx="85">
                  <c:v>11.286000000000001</c:v>
                </c:pt>
                <c:pt idx="88">
                  <c:v>12.238</c:v>
                </c:pt>
                <c:pt idx="91">
                  <c:v>12.867000000000004</c:v>
                </c:pt>
                <c:pt idx="94">
                  <c:v>13.567</c:v>
                </c:pt>
                <c:pt idx="98">
                  <c:v>14.091000000000001</c:v>
                </c:pt>
                <c:pt idx="108">
                  <c:v>13.65</c:v>
                </c:pt>
              </c:numCache>
            </c:numRef>
          </c:val>
        </c:ser>
        <c:marker val="1"/>
        <c:axId val="152405120"/>
        <c:axId val="152407424"/>
      </c:lineChart>
      <c:catAx>
        <c:axId val="152405120"/>
        <c:scaling>
          <c:orientation val="minMax"/>
        </c:scaling>
        <c:axPos val="b"/>
        <c:numFmt formatCode="General" sourceLinked="1"/>
        <c:tickLblPos val="nextTo"/>
        <c:crossAx val="152407424"/>
        <c:crosses val="autoZero"/>
        <c:auto val="1"/>
        <c:lblAlgn val="ctr"/>
        <c:lblOffset val="100"/>
      </c:catAx>
      <c:valAx>
        <c:axId val="152407424"/>
        <c:scaling>
          <c:orientation val="minMax"/>
        </c:scaling>
        <c:axPos val="l"/>
        <c:majorGridlines/>
        <c:numFmt formatCode="General" sourceLinked="1"/>
        <c:tickLblPos val="nextTo"/>
        <c:crossAx val="152405120"/>
        <c:crosses val="autoZero"/>
        <c:crossBetween val="between"/>
      </c:valAx>
    </c:plotArea>
    <c:legend>
      <c:legendPos val="b"/>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1"/>
          <c:order val="0"/>
          <c:tx>
            <c:strRef>
              <c:f>Sheet1!$C$1</c:f>
              <c:strCache>
                <c:ptCount val="1"/>
                <c:pt idx="0">
                  <c:v>VMPA Low Irr Eff</c:v>
                </c:pt>
              </c:strCache>
            </c:strRef>
          </c:tx>
          <c:marker>
            <c:symbol val="none"/>
          </c:marker>
          <c:val>
            <c:numRef>
              <c:f>Sheet1!$C$2:$C$31</c:f>
              <c:numCache>
                <c:formatCode>General</c:formatCode>
                <c:ptCount val="30"/>
                <c:pt idx="0">
                  <c:v>0</c:v>
                </c:pt>
                <c:pt idx="1">
                  <c:v>7.7249999999999863</c:v>
                </c:pt>
                <c:pt idx="2">
                  <c:v>14.9</c:v>
                </c:pt>
                <c:pt idx="3">
                  <c:v>21.524999999999999</c:v>
                </c:pt>
                <c:pt idx="4">
                  <c:v>27.6</c:v>
                </c:pt>
                <c:pt idx="5">
                  <c:v>33.125000000000099</c:v>
                </c:pt>
                <c:pt idx="6">
                  <c:v>38.1</c:v>
                </c:pt>
                <c:pt idx="7">
                  <c:v>42.525000000000013</c:v>
                </c:pt>
                <c:pt idx="8">
                  <c:v>46.4</c:v>
                </c:pt>
                <c:pt idx="9">
                  <c:v>49.725000000000115</c:v>
                </c:pt>
                <c:pt idx="10">
                  <c:v>52.5</c:v>
                </c:pt>
                <c:pt idx="11">
                  <c:v>54.725000000000115</c:v>
                </c:pt>
                <c:pt idx="12">
                  <c:v>56.4</c:v>
                </c:pt>
                <c:pt idx="13">
                  <c:v>57.525000000000013</c:v>
                </c:pt>
                <c:pt idx="14">
                  <c:v>58.100000000000009</c:v>
                </c:pt>
                <c:pt idx="15">
                  <c:v>58.125000000000092</c:v>
                </c:pt>
                <c:pt idx="16">
                  <c:v>57.600000000000009</c:v>
                </c:pt>
                <c:pt idx="17">
                  <c:v>56.525000000000013</c:v>
                </c:pt>
                <c:pt idx="18">
                  <c:v>54.9</c:v>
                </c:pt>
                <c:pt idx="19">
                  <c:v>52.725000000000115</c:v>
                </c:pt>
                <c:pt idx="20">
                  <c:v>50</c:v>
                </c:pt>
                <c:pt idx="21">
                  <c:v>46.725000000000115</c:v>
                </c:pt>
                <c:pt idx="22">
                  <c:v>42.9</c:v>
                </c:pt>
                <c:pt idx="23">
                  <c:v>38.525000000000013</c:v>
                </c:pt>
                <c:pt idx="24">
                  <c:v>33.600000000000009</c:v>
                </c:pt>
                <c:pt idx="25">
                  <c:v>28.125</c:v>
                </c:pt>
                <c:pt idx="26">
                  <c:v>22.099999999999987</c:v>
                </c:pt>
                <c:pt idx="27">
                  <c:v>15.524999999999977</c:v>
                </c:pt>
                <c:pt idx="28">
                  <c:v>8.4000000000000021</c:v>
                </c:pt>
                <c:pt idx="29">
                  <c:v>0.72499999999999465</c:v>
                </c:pt>
              </c:numCache>
            </c:numRef>
          </c:val>
        </c:ser>
        <c:ser>
          <c:idx val="2"/>
          <c:order val="1"/>
          <c:tx>
            <c:strRef>
              <c:f>Sheet1!$D$1</c:f>
              <c:strCache>
                <c:ptCount val="1"/>
                <c:pt idx="0">
                  <c:v>VMPA High Irr Eff</c:v>
                </c:pt>
              </c:strCache>
            </c:strRef>
          </c:tx>
          <c:marker>
            <c:symbol val="none"/>
          </c:marker>
          <c:val>
            <c:numRef>
              <c:f>Sheet1!$D$2:$D$31</c:f>
              <c:numCache>
                <c:formatCode>General</c:formatCode>
                <c:ptCount val="30"/>
                <c:pt idx="0">
                  <c:v>0</c:v>
                </c:pt>
                <c:pt idx="1">
                  <c:v>14.4</c:v>
                </c:pt>
                <c:pt idx="2">
                  <c:v>27.6</c:v>
                </c:pt>
                <c:pt idx="3">
                  <c:v>39.6</c:v>
                </c:pt>
                <c:pt idx="4">
                  <c:v>50.4</c:v>
                </c:pt>
                <c:pt idx="5">
                  <c:v>60</c:v>
                </c:pt>
                <c:pt idx="6">
                  <c:v>68.400000000000006</c:v>
                </c:pt>
                <c:pt idx="7">
                  <c:v>75.599999999999994</c:v>
                </c:pt>
                <c:pt idx="8">
                  <c:v>81.599999999999994</c:v>
                </c:pt>
                <c:pt idx="9">
                  <c:v>86.4</c:v>
                </c:pt>
                <c:pt idx="10">
                  <c:v>90</c:v>
                </c:pt>
                <c:pt idx="11">
                  <c:v>92.4</c:v>
                </c:pt>
                <c:pt idx="12">
                  <c:v>93.600000000000009</c:v>
                </c:pt>
                <c:pt idx="13">
                  <c:v>93.600000000000009</c:v>
                </c:pt>
                <c:pt idx="14">
                  <c:v>92.4</c:v>
                </c:pt>
                <c:pt idx="15">
                  <c:v>90</c:v>
                </c:pt>
                <c:pt idx="16">
                  <c:v>86.4</c:v>
                </c:pt>
                <c:pt idx="17">
                  <c:v>81.599999999999994</c:v>
                </c:pt>
                <c:pt idx="18">
                  <c:v>75.599999999999994</c:v>
                </c:pt>
                <c:pt idx="19">
                  <c:v>68.400000000000006</c:v>
                </c:pt>
                <c:pt idx="20">
                  <c:v>60</c:v>
                </c:pt>
                <c:pt idx="21">
                  <c:v>50.400000000000034</c:v>
                </c:pt>
                <c:pt idx="22">
                  <c:v>39.600000000000023</c:v>
                </c:pt>
                <c:pt idx="23">
                  <c:v>27.60000000000003</c:v>
                </c:pt>
                <c:pt idx="24">
                  <c:v>14.400000000000034</c:v>
                </c:pt>
                <c:pt idx="25">
                  <c:v>0</c:v>
                </c:pt>
              </c:numCache>
            </c:numRef>
          </c:val>
        </c:ser>
        <c:ser>
          <c:idx val="0"/>
          <c:order val="2"/>
          <c:tx>
            <c:strRef>
              <c:f>Sheet1!$E$1</c:f>
              <c:strCache>
                <c:ptCount val="1"/>
                <c:pt idx="0">
                  <c:v>Threshold Price</c:v>
                </c:pt>
              </c:strCache>
            </c:strRef>
          </c:tx>
          <c:marker>
            <c:symbol val="none"/>
          </c:marker>
          <c:val>
            <c:numRef>
              <c:f>Sheet1!$E$2:$E$31</c:f>
              <c:numCache>
                <c:formatCode>General</c:formatCode>
                <c:ptCount val="30"/>
                <c:pt idx="0">
                  <c:v>44</c:v>
                </c:pt>
                <c:pt idx="1">
                  <c:v>44</c:v>
                </c:pt>
                <c:pt idx="2">
                  <c:v>44</c:v>
                </c:pt>
                <c:pt idx="3">
                  <c:v>44</c:v>
                </c:pt>
                <c:pt idx="4">
                  <c:v>44</c:v>
                </c:pt>
                <c:pt idx="5">
                  <c:v>44</c:v>
                </c:pt>
                <c:pt idx="6">
                  <c:v>44</c:v>
                </c:pt>
                <c:pt idx="7">
                  <c:v>44</c:v>
                </c:pt>
                <c:pt idx="8">
                  <c:v>44</c:v>
                </c:pt>
                <c:pt idx="9">
                  <c:v>44</c:v>
                </c:pt>
                <c:pt idx="10">
                  <c:v>44</c:v>
                </c:pt>
                <c:pt idx="11">
                  <c:v>44</c:v>
                </c:pt>
                <c:pt idx="12">
                  <c:v>44</c:v>
                </c:pt>
                <c:pt idx="13">
                  <c:v>44</c:v>
                </c:pt>
                <c:pt idx="14">
                  <c:v>44</c:v>
                </c:pt>
                <c:pt idx="15">
                  <c:v>44</c:v>
                </c:pt>
                <c:pt idx="16">
                  <c:v>44</c:v>
                </c:pt>
                <c:pt idx="17">
                  <c:v>44</c:v>
                </c:pt>
                <c:pt idx="18">
                  <c:v>44</c:v>
                </c:pt>
                <c:pt idx="19">
                  <c:v>44</c:v>
                </c:pt>
                <c:pt idx="20">
                  <c:v>44</c:v>
                </c:pt>
                <c:pt idx="21">
                  <c:v>44</c:v>
                </c:pt>
                <c:pt idx="22">
                  <c:v>44</c:v>
                </c:pt>
              </c:numCache>
            </c:numRef>
          </c:val>
        </c:ser>
        <c:marker val="1"/>
        <c:axId val="83917056"/>
        <c:axId val="83947904"/>
      </c:lineChart>
      <c:catAx>
        <c:axId val="83917056"/>
        <c:scaling>
          <c:orientation val="minMax"/>
        </c:scaling>
        <c:axPos val="b"/>
        <c:title>
          <c:tx>
            <c:rich>
              <a:bodyPr/>
              <a:lstStyle/>
              <a:p>
                <a:pPr>
                  <a:defRPr/>
                </a:pPr>
                <a:r>
                  <a:rPr lang="en-US"/>
                  <a:t>Applied Water</a:t>
                </a:r>
              </a:p>
            </c:rich>
          </c:tx>
          <c:layout/>
        </c:title>
        <c:majorTickMark val="none"/>
        <c:tickLblPos val="nextTo"/>
        <c:crossAx val="83947904"/>
        <c:crosses val="autoZero"/>
        <c:auto val="1"/>
        <c:lblAlgn val="ctr"/>
        <c:lblOffset val="100"/>
      </c:catAx>
      <c:valAx>
        <c:axId val="83947904"/>
        <c:scaling>
          <c:orientation val="minMax"/>
        </c:scaling>
        <c:axPos val="l"/>
        <c:title>
          <c:tx>
            <c:rich>
              <a:bodyPr rot="0" vert="horz"/>
              <a:lstStyle/>
              <a:p>
                <a:pPr>
                  <a:defRPr/>
                </a:pPr>
                <a:r>
                  <a:rPr lang="en-US"/>
                  <a:t>$</a:t>
                </a:r>
              </a:p>
            </c:rich>
          </c:tx>
          <c:layout/>
        </c:title>
        <c:numFmt formatCode="General" sourceLinked="1"/>
        <c:majorTickMark val="none"/>
        <c:tickLblPos val="nextTo"/>
        <c:crossAx val="83917056"/>
        <c:crosses val="autoZero"/>
        <c:crossBetween val="between"/>
      </c:valAx>
    </c:plotArea>
    <c:legend>
      <c:legendPos val="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B04B-E2C6-4564-9F35-BE67270E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5032</Words>
  <Characters>28683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Mullen</dc:creator>
  <cp:keywords/>
  <dc:description/>
  <cp:lastModifiedBy>lalfonso</cp:lastModifiedBy>
  <cp:revision>7</cp:revision>
  <dcterms:created xsi:type="dcterms:W3CDTF">2011-02-11T21:23:00Z</dcterms:created>
  <dcterms:modified xsi:type="dcterms:W3CDTF">2011-05-10T15:06:00Z</dcterms:modified>
</cp:coreProperties>
</file>